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58" w:rsidRDefault="00804D24">
      <w:pPr>
        <w:tabs>
          <w:tab w:val="left" w:pos="8378"/>
          <w:tab w:val="left" w:pos="8946"/>
        </w:tabs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Temeljem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391.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stavka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vlasništvu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stvarnim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Narodne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«, br. 91/96, 68/98, 137/99,  22/00, 73/00, 129/00, 114/01, 79/06, 141/06, 146/08, 38/09, 153/09, 143/12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152/14),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Statuta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glasnik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“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804D24">
        <w:rPr>
          <w:rFonts w:ascii="Times New Roman" w:eastAsia="Times New Roman" w:hAnsi="Times New Roman" w:cs="Times New Roman"/>
          <w:color w:val="000000"/>
        </w:rPr>
        <w:t xml:space="preserve">1/19., 2/19., 1/20. </w:t>
      </w:r>
      <w:proofErr w:type="spellStart"/>
      <w:r w:rsidRPr="00804D24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04D24">
        <w:rPr>
          <w:rFonts w:ascii="Times New Roman" w:eastAsia="Times New Roman" w:hAnsi="Times New Roman" w:cs="Times New Roman"/>
          <w:color w:val="000000"/>
        </w:rPr>
        <w:t xml:space="preserve"> 2/21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vijeća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prodaji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br. /23),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načelnik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raspisuje</w:t>
      </w:r>
      <w:proofErr w:type="spellEnd"/>
    </w:p>
    <w:p w:rsidR="00385958" w:rsidRDefault="00804D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JAVNI NATJEČAJ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prodaju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zemljišta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području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području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Čađavica</w:t>
      </w:r>
      <w:proofErr w:type="spellEnd"/>
    </w:p>
    <w:p w:rsidR="00385958" w:rsidRDefault="00804D2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Predmet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prodaje</w:t>
      </w:r>
      <w:proofErr w:type="spellEnd"/>
    </w:p>
    <w:p w:rsidR="00385958" w:rsidRDefault="00804D2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nekretnine</w:t>
      </w:r>
      <w:proofErr w:type="spellEnd"/>
      <w:r>
        <w:rPr>
          <w:rFonts w:ascii="Times New Roman" w:eastAsia="Times New Roman" w:hAnsi="Times New Roman" w:cs="Times New Roman"/>
          <w:color w:val="306EAF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području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poduzetničke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zone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izgradnje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gospodarskih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objekata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obavljanja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poduzetničkih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djelatnosti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to: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965"/>
        <w:gridCol w:w="883"/>
        <w:gridCol w:w="1330"/>
        <w:gridCol w:w="1331"/>
        <w:gridCol w:w="1319"/>
        <w:gridCol w:w="1326"/>
        <w:gridCol w:w="1630"/>
      </w:tblGrid>
      <w:tr w:rsidR="00385958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R.BR.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KAT. ČEST.BR.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ZK.Č.BR.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ZK.UL.BR.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AT. OPĆINA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POVRŠINA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POČETNA CIJENA (U €)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5958" w:rsidRDefault="00804D24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Napomena</w:t>
            </w:r>
            <w:proofErr w:type="spellEnd"/>
          </w:p>
        </w:tc>
      </w:tr>
      <w:tr w:rsidR="00385958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2166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4418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Čađavica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9634 m2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9.050,98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5958" w:rsidRDefault="00804D24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Industrijska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zona</w:t>
            </w:r>
          </w:p>
        </w:tc>
      </w:tr>
      <w:tr w:rsidR="00385958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2171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4335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Čađavica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1899 m2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5958" w:rsidRDefault="00804D2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2.074,36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5958" w:rsidRDefault="00804D24">
            <w:pPr>
              <w:spacing w:before="100" w:after="10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Industrijska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zona</w:t>
            </w:r>
            <w:proofErr w:type="gramEnd"/>
          </w:p>
        </w:tc>
      </w:tr>
    </w:tbl>
    <w:p w:rsidR="00385958" w:rsidRDefault="0038595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</w:p>
    <w:p w:rsidR="00385958" w:rsidRDefault="00804D24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Nekretnine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</w:rPr>
        <w:t>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Zaključka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temelju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tržišnoj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kupoprodajnoj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2. 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Opći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podaci</w:t>
      </w:r>
      <w:proofErr w:type="spellEnd"/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Podnošenjem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izričito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suglasan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prikupljati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kori</w:t>
      </w:r>
      <w:r>
        <w:rPr>
          <w:rFonts w:ascii="Times New Roman" w:eastAsia="Times New Roman" w:hAnsi="Times New Roman" w:cs="Times New Roman"/>
          <w:color w:val="000000"/>
        </w:rPr>
        <w:t>stiti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obrađivati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podatke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svrhu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provedbe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prikupljanja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propisima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zaštiti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Pisane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prilozima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podnose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zatvorenoj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omotnici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pisarnicu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pošte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</w:t>
      </w:r>
      <w:r>
        <w:rPr>
          <w:rFonts w:ascii="Times New Roman" w:eastAsia="Times New Roman" w:hAnsi="Times New Roman" w:cs="Times New Roman"/>
          <w:color w:val="000000"/>
        </w:rPr>
        <w:t>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Kolodvorska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2, 33523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prednjoj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omotnice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napisati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oglasu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naznaku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„PONUDA ZA KUPNJU ZEMLJIŠTA - NE OTVARATI“. 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unutar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zainteresirane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fizičke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</w:t>
      </w:r>
      <w:r>
        <w:rPr>
          <w:rFonts w:ascii="Times New Roman" w:eastAsia="Times New Roman" w:hAnsi="Times New Roman" w:cs="Times New Roman"/>
          <w:color w:val="000000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moći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svoju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natječaj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 dana od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Virovitičkom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Otvaranje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analizu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zaprimljenih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tijekom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otvorenog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provodi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Povjerenstvo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provedbu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prikupljanja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prostorijama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Kolodvorska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2, 33523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tijekom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navedenog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svojoj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www.opcina-cadjavica.hr</w:t>
        </w:r>
      </w:hyperlink>
      <w:r>
        <w:rPr>
          <w:rFonts w:ascii="Times New Roman" w:eastAsia="Times New Roman" w:hAnsi="Times New Roman" w:cs="Times New Roman"/>
          <w:color w:val="0563C1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redovito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objavljivati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zainteresir</w:t>
      </w:r>
      <w:r>
        <w:rPr>
          <w:rFonts w:ascii="Times New Roman" w:eastAsia="Times New Roman" w:hAnsi="Times New Roman" w:cs="Times New Roman"/>
          <w:color w:val="000000"/>
        </w:rPr>
        <w:t>anim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trenutnoj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raspoloživosti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smislu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njihove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natječajnim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uvjetima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</w:rPr>
        <w:t>Otvaranju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prisustvovati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ovlašteni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zakonski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zastupnik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njego</w:t>
      </w:r>
      <w:r>
        <w:rPr>
          <w:rFonts w:ascii="Times New Roman" w:eastAsia="Times New Roman" w:hAnsi="Times New Roman" w:cs="Times New Roman"/>
          <w:color w:val="000000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punomoćnik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valjanom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punomoći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email: </w:t>
      </w:r>
      <w:proofErr w:type="spellStart"/>
      <w:r>
        <w:rPr>
          <w:rFonts w:ascii="Times New Roman" w:eastAsia="Times New Roman" w:hAnsi="Times New Roman" w:cs="Times New Roman"/>
          <w:color w:val="0563C1"/>
          <w:u w:val="single"/>
        </w:rPr>
        <w:t>opcina</w:t>
      </w:r>
      <w:proofErr w:type="spellEnd"/>
      <w:r>
        <w:rPr>
          <w:rFonts w:ascii="Times New Roman" w:eastAsia="Times New Roman" w:hAnsi="Times New Roman" w:cs="Times New Roman"/>
          <w:color w:val="0563C1"/>
          <w:u w:val="single"/>
        </w:rPr>
        <w:t>@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63C1"/>
          <w:u w:val="single"/>
        </w:rPr>
        <w:t>opcina-cadjavica.hr</w:t>
      </w:r>
      <w:r>
        <w:rPr>
          <w:rFonts w:ascii="Times New Roman" w:eastAsia="Times New Roman" w:hAnsi="Times New Roman" w:cs="Times New Roman"/>
          <w:color w:val="306EAF"/>
          <w:u w:val="single"/>
        </w:rPr>
        <w:t xml:space="preserve"> .</w:t>
      </w:r>
      <w:proofErr w:type="gramEnd"/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3. 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Sadržaj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ponude</w:t>
      </w:r>
      <w:proofErr w:type="spellEnd"/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podnositelju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prebivali</w:t>
      </w:r>
      <w:r>
        <w:rPr>
          <w:rFonts w:ascii="Times New Roman" w:eastAsia="Times New Roman" w:hAnsi="Times New Roman" w:cs="Times New Roman"/>
          <w:color w:val="000000"/>
        </w:rPr>
        <w:t>šte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sjedište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telefona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e-mail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identifikacijski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(OIB),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oznaka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zemljišnoknjižnih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katastarskih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3.3.     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navedena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ponuđena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</w:t>
      </w:r>
      <w:r>
        <w:rPr>
          <w:rFonts w:ascii="Times New Roman" w:eastAsia="Times New Roman" w:hAnsi="Times New Roman" w:cs="Times New Roman"/>
          <w:color w:val="000000"/>
        </w:rPr>
        <w:t>oprodajna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Eurima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(EUR)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naziv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računa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povrat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jamčevine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njezinog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neprihvaćanja</w:t>
      </w:r>
      <w:proofErr w:type="spellEnd"/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3.5.     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fizičke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priložiti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presliku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važeće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iskaznice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fizičke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presliku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putovni</w:t>
      </w:r>
      <w:r>
        <w:rPr>
          <w:rFonts w:ascii="Times New Roman" w:eastAsia="Times New Roman" w:hAnsi="Times New Roman" w:cs="Times New Roman"/>
          <w:color w:val="000000"/>
        </w:rPr>
        <w:t>ce</w:t>
      </w:r>
      <w:proofErr w:type="spellEnd"/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3.6.     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priložiti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izvadak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obrtnog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odgovarajućeg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državi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njegova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poslovnog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ovjerenim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prijevodom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tumača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hrvatski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jezik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3.7.     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</w:t>
      </w:r>
      <w:r>
        <w:rPr>
          <w:rFonts w:ascii="Times New Roman" w:eastAsia="Times New Roman" w:hAnsi="Times New Roman" w:cs="Times New Roman"/>
          <w:color w:val="000000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fizičke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priložiti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izvornik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ovjerenu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presliku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potvrde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porezne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tijela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 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podmirenju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poreznog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ispunile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obvezu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plaćanja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dospjelih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poreznih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obveza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potvrda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starija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30</w:t>
      </w:r>
      <w:r>
        <w:rPr>
          <w:rFonts w:ascii="Times New Roman" w:eastAsia="Times New Roman" w:hAnsi="Times New Roman" w:cs="Times New Roman"/>
          <w:color w:val="000000"/>
        </w:rPr>
        <w:t xml:space="preserve"> dana od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podnošenja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ponude</w:t>
      </w:r>
      <w:proofErr w:type="spellEnd"/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3.8.     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jamčevine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žiro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 IBAN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: HR91 2360000 1805700001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otvoren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Zagrebačke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model 68,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poziv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7340 – OIB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uplatitelja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 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opisu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plaćanja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</w:t>
      </w:r>
      <w:r>
        <w:rPr>
          <w:rFonts w:ascii="Times New Roman" w:eastAsia="Times New Roman" w:hAnsi="Times New Roman" w:cs="Times New Roman"/>
          <w:color w:val="000000"/>
        </w:rPr>
        <w:t>esti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red.br.nekretnine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/a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uplaćuje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jamčevina</w:t>
      </w:r>
      <w:proofErr w:type="spellEnd"/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3.9.     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poslovno-investicijsku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studiju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razvoja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korištenja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određeni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zaključenja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ugovora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vidljiva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svrha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planirani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izgradnje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objekata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planirani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obavljanja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djelatnosti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struktura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zaposlenika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slično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3.10.   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obvezuje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njegova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prihvaćena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sklopiti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ugovor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kupoprodaji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njegov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trošak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</w:t>
      </w:r>
      <w:r>
        <w:rPr>
          <w:rFonts w:ascii="Times New Roman" w:eastAsia="Times New Roman" w:hAnsi="Times New Roman" w:cs="Times New Roman"/>
          <w:color w:val="000000"/>
        </w:rPr>
        <w:t>losti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prihvaća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uvjete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njegova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ostaje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snazi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90 dana,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računajući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otvaranja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4. 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Uvjeti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javnog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natječaja</w:t>
      </w:r>
      <w:proofErr w:type="spellEnd"/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zatečenom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"VIĐENO - KUPLJENO",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isključuje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prigovore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vrste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</w:t>
      </w:r>
      <w:r>
        <w:rPr>
          <w:rFonts w:ascii="Times New Roman" w:eastAsia="Times New Roman" w:hAnsi="Times New Roman" w:cs="Times New Roman"/>
          <w:color w:val="000000"/>
        </w:rPr>
        <w:t>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kvalitetu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zemljišta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prikupljanja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sudjelovati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fizičke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državljani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registrirane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Republici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Hrvatskoj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državljani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pozitivnim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propisima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uvjetom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prethodno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navedeni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nemaju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dugovanja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Republici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Hrvatskoj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Najpovoljnijim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smatra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najvišu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veća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kupoprodajne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dostavlje</w:t>
      </w:r>
      <w:r>
        <w:rPr>
          <w:rFonts w:ascii="Times New Roman" w:eastAsia="Times New Roman" w:hAnsi="Times New Roman" w:cs="Times New Roman"/>
          <w:color w:val="000000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valuti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razmatrati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pristignu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ponuđenom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zaprimljena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pisarnici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podnijeti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t>ećeg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zemljišta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realizaciju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planirane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investicije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uvjet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ispunjava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uvjete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prikupljanja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prethodnog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stavka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tom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smatrati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povoljnijim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odustanka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najpovoljnijeg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najpovoljnijim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smatra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sljedeći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najvišu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uvjet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veća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kupoprodajne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prihvaćanj</w:t>
      </w:r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najviše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ponuđene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postignute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Zainteresirani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dostavljanja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jamčevinu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iznosu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 </w:t>
      </w:r>
      <w:r>
        <w:rPr>
          <w:rFonts w:ascii="Times New Roman" w:eastAsia="Times New Roman" w:hAnsi="Times New Roman" w:cs="Times New Roman"/>
          <w:i/>
          <w:color w:val="000000"/>
        </w:rPr>
        <w:t xml:space="preserve">10%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početne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kupoprodajne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cijene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nekretnine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odustao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gubi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povrat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jamčevine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zadržava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odustati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pojedinih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natječaja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potpisivanja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ugovora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odustane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</w:t>
      </w:r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povrat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uplaćene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jamčevine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razdoblje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njezine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isplate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tome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materijalnu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odgovornost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obvezu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obavijestiti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razlozima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takav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odabira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najpovoljnijeg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jamčevina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odabranom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uračunati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kupoprodajnu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ostalim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vratit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jamčevinu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razdoblje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njezine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isplate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prodaji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najpovoljnijem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donijet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načelnik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Odabrani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ponuditelj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8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donošenja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načelnika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zaključiti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ugovor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kupoprodaji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Način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plaćanj</w:t>
      </w:r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trenutak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prijenosa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vlasništva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definirati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ugovorom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Porez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promet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nekretnina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ostale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troškove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vezi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prijenosa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vlasništva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trošak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prenamjene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zemljišta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kupac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plaćanja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dulji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30 dana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sklapanja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kupop</w:t>
      </w:r>
      <w:r>
        <w:rPr>
          <w:rFonts w:ascii="Times New Roman" w:eastAsia="Times New Roman" w:hAnsi="Times New Roman" w:cs="Times New Roman"/>
          <w:color w:val="000000"/>
        </w:rPr>
        <w:t>rodajnog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ugovora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85958" w:rsidRDefault="00804D2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Ovaj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natječaj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objavit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Virovitičkom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mrežnim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Čađavica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www.opcina-cadjavica.hr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.</w:t>
      </w:r>
    </w:p>
    <w:p w:rsidR="00385958" w:rsidRDefault="00804D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OPĆINA ČAĐAVICA</w:t>
      </w:r>
    </w:p>
    <w:p w:rsidR="00385958" w:rsidRDefault="00385958">
      <w:pPr>
        <w:rPr>
          <w:rFonts w:ascii="Times New Roman" w:eastAsia="Times New Roman" w:hAnsi="Times New Roman" w:cs="Times New Roman"/>
        </w:rPr>
      </w:pPr>
    </w:p>
    <w:sectPr w:rsidR="00385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958"/>
    <w:rsid w:val="00385958"/>
    <w:rsid w:val="008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9022"/>
  <w15:docId w15:val="{C15D1F72-97BE-4192-BF01-2A15C21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cadjavica.hr/" TargetMode="External"/><Relationship Id="rId4" Type="http://schemas.openxmlformats.org/officeDocument/2006/relationships/hyperlink" Target="http://www.opcina-cadjavic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OPCINA</cp:lastModifiedBy>
  <cp:revision>2</cp:revision>
  <dcterms:created xsi:type="dcterms:W3CDTF">2023-04-11T06:27:00Z</dcterms:created>
  <dcterms:modified xsi:type="dcterms:W3CDTF">2023-04-11T06:28:00Z</dcterms:modified>
</cp:coreProperties>
</file>