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8" w:type="dxa"/>
        <w:tblLayout w:type="fixed"/>
        <w:tblCellMar>
          <w:left w:w="0" w:type="dxa"/>
          <w:right w:w="0" w:type="dxa"/>
        </w:tblCellMar>
        <w:tblLook w:val="0000" w:firstRow="0" w:lastRow="0" w:firstColumn="0" w:lastColumn="0" w:noHBand="0" w:noVBand="0"/>
      </w:tblPr>
      <w:tblGrid>
        <w:gridCol w:w="1268"/>
        <w:gridCol w:w="4536"/>
      </w:tblGrid>
      <w:tr w:rsidR="00A318FB" w:rsidRPr="00A318FB" w14:paraId="05E35850" w14:textId="77777777" w:rsidTr="00155070">
        <w:trPr>
          <w:trHeight w:val="1060"/>
        </w:trPr>
        <w:tc>
          <w:tcPr>
            <w:tcW w:w="1268" w:type="dxa"/>
            <w:vMerge w:val="restart"/>
            <w:shd w:val="clear" w:color="FFFFFF" w:fill="FFFFFF"/>
            <w:vAlign w:val="bottom"/>
          </w:tcPr>
          <w:p w14:paraId="6CC0F639" w14:textId="566EDB4E" w:rsidR="00A318FB" w:rsidRPr="00A318FB" w:rsidRDefault="00A318FB" w:rsidP="00155070">
            <w:pPr>
              <w:ind w:left="-107"/>
              <w:jc w:val="center"/>
              <w:rPr>
                <w:sz w:val="20"/>
                <w:szCs w:val="20"/>
              </w:rPr>
            </w:pPr>
          </w:p>
        </w:tc>
        <w:tc>
          <w:tcPr>
            <w:tcW w:w="4536" w:type="dxa"/>
            <w:shd w:val="clear" w:color="FFFFFF" w:fill="FFFFFF"/>
          </w:tcPr>
          <w:p w14:paraId="41B2DD5F" w14:textId="77777777" w:rsidR="00A318FB" w:rsidRPr="00A318FB" w:rsidRDefault="00A318FB" w:rsidP="00155070">
            <w:pPr>
              <w:ind w:left="-107"/>
              <w:jc w:val="center"/>
              <w:rPr>
                <w:b/>
                <w:sz w:val="20"/>
                <w:szCs w:val="20"/>
              </w:rPr>
            </w:pPr>
            <w:r w:rsidRPr="00A318FB">
              <w:rPr>
                <w:position w:val="-40"/>
                <w:sz w:val="20"/>
                <w:szCs w:val="20"/>
              </w:rPr>
              <w:object w:dxaOrig="12473" w:dyaOrig="15815" w14:anchorId="0B8447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52.2pt" o:ole="">
                  <v:imagedata r:id="rId5" o:title=""/>
                </v:shape>
                <o:OLEObject Type="Embed" ProgID="Microsoft" ShapeID="_x0000_i1025" DrawAspect="Content" ObjectID="_1745923945" r:id="rId6"/>
              </w:object>
            </w:r>
          </w:p>
        </w:tc>
      </w:tr>
      <w:tr w:rsidR="00A318FB" w:rsidRPr="00A318FB" w14:paraId="2F44F560" w14:textId="77777777" w:rsidTr="00155070">
        <w:trPr>
          <w:trHeight w:val="242"/>
        </w:trPr>
        <w:tc>
          <w:tcPr>
            <w:tcW w:w="1268" w:type="dxa"/>
            <w:vMerge/>
            <w:shd w:val="clear" w:color="FFFFFF" w:fill="FFFFFF"/>
          </w:tcPr>
          <w:p w14:paraId="7DBF9D85" w14:textId="77777777" w:rsidR="00A318FB" w:rsidRPr="00A318FB" w:rsidRDefault="00A318FB" w:rsidP="00155070">
            <w:pPr>
              <w:jc w:val="center"/>
              <w:rPr>
                <w:b/>
                <w:sz w:val="20"/>
                <w:szCs w:val="20"/>
              </w:rPr>
            </w:pPr>
          </w:p>
        </w:tc>
        <w:tc>
          <w:tcPr>
            <w:tcW w:w="4536" w:type="dxa"/>
            <w:shd w:val="clear" w:color="FFFFFF" w:fill="FFFFFF"/>
          </w:tcPr>
          <w:p w14:paraId="3B0AFAD1" w14:textId="77777777" w:rsidR="00A318FB" w:rsidRPr="00A318FB" w:rsidRDefault="00A318FB" w:rsidP="00155070">
            <w:pPr>
              <w:jc w:val="center"/>
              <w:rPr>
                <w:b/>
                <w:sz w:val="20"/>
                <w:szCs w:val="20"/>
              </w:rPr>
            </w:pPr>
            <w:r w:rsidRPr="00A318FB">
              <w:rPr>
                <w:b/>
                <w:sz w:val="20"/>
                <w:szCs w:val="20"/>
              </w:rPr>
              <w:t>REPUBLIKA HRVATSKA</w:t>
            </w:r>
          </w:p>
        </w:tc>
      </w:tr>
      <w:tr w:rsidR="00A318FB" w:rsidRPr="00A318FB" w14:paraId="0FF039B9" w14:textId="77777777" w:rsidTr="00155070">
        <w:trPr>
          <w:trHeight w:val="80"/>
        </w:trPr>
        <w:tc>
          <w:tcPr>
            <w:tcW w:w="1268" w:type="dxa"/>
            <w:vMerge/>
            <w:shd w:val="clear" w:color="FFFFFF" w:fill="FFFFFF"/>
          </w:tcPr>
          <w:p w14:paraId="0386285D" w14:textId="77777777" w:rsidR="00A318FB" w:rsidRPr="00A318FB" w:rsidRDefault="00A318FB" w:rsidP="00155070">
            <w:pPr>
              <w:jc w:val="center"/>
              <w:rPr>
                <w:b/>
                <w:sz w:val="20"/>
                <w:szCs w:val="20"/>
              </w:rPr>
            </w:pPr>
          </w:p>
        </w:tc>
        <w:tc>
          <w:tcPr>
            <w:tcW w:w="4536" w:type="dxa"/>
            <w:shd w:val="clear" w:color="FFFFFF" w:fill="FFFFFF"/>
          </w:tcPr>
          <w:p w14:paraId="4CC72C02" w14:textId="77777777" w:rsidR="00A318FB" w:rsidRPr="00A318FB" w:rsidRDefault="00A318FB" w:rsidP="00155070">
            <w:pPr>
              <w:jc w:val="center"/>
              <w:rPr>
                <w:b/>
                <w:sz w:val="20"/>
                <w:szCs w:val="20"/>
              </w:rPr>
            </w:pPr>
            <w:r w:rsidRPr="00A318FB">
              <w:rPr>
                <w:b/>
                <w:sz w:val="20"/>
                <w:szCs w:val="20"/>
              </w:rPr>
              <w:t>VIROVITIČKO-PODRAVSKA ŽUPANIJA</w:t>
            </w:r>
          </w:p>
        </w:tc>
      </w:tr>
      <w:tr w:rsidR="00A318FB" w:rsidRPr="00A318FB" w14:paraId="057EFF17" w14:textId="77777777" w:rsidTr="00155070">
        <w:trPr>
          <w:trHeight w:val="227"/>
        </w:trPr>
        <w:tc>
          <w:tcPr>
            <w:tcW w:w="1268" w:type="dxa"/>
            <w:vMerge/>
            <w:shd w:val="clear" w:color="FFFFFF" w:fill="FFFFFF"/>
            <w:vAlign w:val="center"/>
          </w:tcPr>
          <w:p w14:paraId="0DE31E64" w14:textId="77777777" w:rsidR="00A318FB" w:rsidRPr="00A318FB" w:rsidRDefault="00A318FB" w:rsidP="00155070">
            <w:pPr>
              <w:jc w:val="center"/>
              <w:rPr>
                <w:b/>
                <w:sz w:val="20"/>
                <w:szCs w:val="20"/>
              </w:rPr>
            </w:pPr>
          </w:p>
        </w:tc>
        <w:tc>
          <w:tcPr>
            <w:tcW w:w="4536" w:type="dxa"/>
            <w:shd w:val="clear" w:color="FFFFFF" w:fill="FFFFFF"/>
          </w:tcPr>
          <w:p w14:paraId="5D118DEF" w14:textId="7ED69645" w:rsidR="00A318FB" w:rsidRPr="00A318FB" w:rsidRDefault="00A318FB" w:rsidP="00155070">
            <w:pPr>
              <w:jc w:val="center"/>
              <w:rPr>
                <w:b/>
                <w:sz w:val="20"/>
                <w:szCs w:val="20"/>
              </w:rPr>
            </w:pPr>
            <w:r w:rsidRPr="00A318FB">
              <w:rPr>
                <w:b/>
                <w:sz w:val="20"/>
                <w:szCs w:val="20"/>
              </w:rPr>
              <w:t xml:space="preserve">OPĆINA </w:t>
            </w:r>
            <w:r w:rsidR="004B7C0D">
              <w:rPr>
                <w:b/>
                <w:sz w:val="20"/>
                <w:szCs w:val="20"/>
              </w:rPr>
              <w:t>ČAĐAVICA</w:t>
            </w:r>
          </w:p>
        </w:tc>
      </w:tr>
      <w:tr w:rsidR="00A318FB" w:rsidRPr="00A318FB" w14:paraId="67BD2835" w14:textId="77777777" w:rsidTr="00155070">
        <w:trPr>
          <w:trHeight w:val="242"/>
        </w:trPr>
        <w:tc>
          <w:tcPr>
            <w:tcW w:w="1268" w:type="dxa"/>
            <w:vMerge/>
            <w:shd w:val="clear" w:color="FFFFFF" w:fill="FFFFFF"/>
          </w:tcPr>
          <w:p w14:paraId="740CD318" w14:textId="77777777" w:rsidR="00A318FB" w:rsidRPr="00A318FB" w:rsidRDefault="00A318FB" w:rsidP="00155070">
            <w:pPr>
              <w:jc w:val="center"/>
              <w:rPr>
                <w:b/>
                <w:sz w:val="20"/>
                <w:szCs w:val="20"/>
              </w:rPr>
            </w:pPr>
          </w:p>
        </w:tc>
        <w:tc>
          <w:tcPr>
            <w:tcW w:w="4536" w:type="dxa"/>
            <w:shd w:val="clear" w:color="FFFFFF" w:fill="FFFFFF"/>
          </w:tcPr>
          <w:p w14:paraId="0BBC8093" w14:textId="77777777" w:rsidR="00A318FB" w:rsidRPr="00A318FB" w:rsidRDefault="00A318FB" w:rsidP="00155070">
            <w:pPr>
              <w:jc w:val="center"/>
              <w:rPr>
                <w:b/>
                <w:sz w:val="20"/>
                <w:szCs w:val="20"/>
              </w:rPr>
            </w:pPr>
            <w:r w:rsidRPr="00A318FB">
              <w:rPr>
                <w:b/>
                <w:sz w:val="20"/>
                <w:szCs w:val="20"/>
              </w:rPr>
              <w:t>POVJERENSTVO ZA PROCJENU ŠTETE</w:t>
            </w:r>
          </w:p>
          <w:p w14:paraId="2B0B3356" w14:textId="5DD0C092" w:rsidR="00A318FB" w:rsidRPr="00A318FB" w:rsidRDefault="00A318FB" w:rsidP="00155070">
            <w:pPr>
              <w:jc w:val="center"/>
              <w:rPr>
                <w:b/>
                <w:sz w:val="20"/>
                <w:szCs w:val="20"/>
              </w:rPr>
            </w:pPr>
            <w:r w:rsidRPr="00A318FB">
              <w:rPr>
                <w:b/>
                <w:sz w:val="20"/>
                <w:szCs w:val="20"/>
              </w:rPr>
              <w:t>OD PRIRODNIH NEPOGODA</w:t>
            </w:r>
          </w:p>
        </w:tc>
      </w:tr>
      <w:tr w:rsidR="00A318FB" w:rsidRPr="00A318FB" w14:paraId="087A6C96" w14:textId="77777777" w:rsidTr="00155070">
        <w:trPr>
          <w:trHeight w:val="227"/>
        </w:trPr>
        <w:tc>
          <w:tcPr>
            <w:tcW w:w="1268" w:type="dxa"/>
            <w:vMerge/>
            <w:shd w:val="clear" w:color="FFFFFF" w:fill="FFFFFF"/>
          </w:tcPr>
          <w:p w14:paraId="5EBC5B69" w14:textId="77777777" w:rsidR="00A318FB" w:rsidRPr="00A318FB" w:rsidRDefault="00A318FB" w:rsidP="00155070">
            <w:pPr>
              <w:jc w:val="center"/>
              <w:rPr>
                <w:b/>
                <w:sz w:val="20"/>
                <w:szCs w:val="20"/>
              </w:rPr>
            </w:pPr>
          </w:p>
        </w:tc>
        <w:tc>
          <w:tcPr>
            <w:tcW w:w="4536" w:type="dxa"/>
            <w:shd w:val="clear" w:color="FFFFFF" w:fill="FFFFFF"/>
          </w:tcPr>
          <w:p w14:paraId="7B0BA308" w14:textId="77777777" w:rsidR="00A318FB" w:rsidRPr="00A318FB" w:rsidRDefault="00A318FB" w:rsidP="00155070">
            <w:pPr>
              <w:jc w:val="center"/>
              <w:rPr>
                <w:b/>
                <w:sz w:val="20"/>
                <w:szCs w:val="20"/>
              </w:rPr>
            </w:pPr>
          </w:p>
        </w:tc>
      </w:tr>
    </w:tbl>
    <w:p w14:paraId="54E4ECD4" w14:textId="0A3A638C" w:rsidR="00A318FB" w:rsidRDefault="00A318FB" w:rsidP="004325B7"/>
    <w:p w14:paraId="2CD360D7" w14:textId="77777777" w:rsidR="00A318FB" w:rsidRDefault="00A318FB" w:rsidP="00A318FB"/>
    <w:p w14:paraId="1F101850" w14:textId="23BA98F1" w:rsidR="001A582B" w:rsidRDefault="001A582B" w:rsidP="00A318FB">
      <w:pPr>
        <w:ind w:firstLine="708"/>
      </w:pPr>
      <w:r>
        <w:t>Na temelju Odluke Župana Virov</w:t>
      </w:r>
      <w:r w:rsidR="009B1029">
        <w:t>i</w:t>
      </w:r>
      <w:r>
        <w:t>tičko-podravske županije</w:t>
      </w:r>
      <w:r w:rsidR="009B1029">
        <w:t xml:space="preserve"> </w:t>
      </w:r>
      <w:r>
        <w:t xml:space="preserve">od </w:t>
      </w:r>
      <w:r w:rsidR="00AB4B52">
        <w:t>17</w:t>
      </w:r>
      <w:r w:rsidR="00F004F7">
        <w:t>.</w:t>
      </w:r>
      <w:r w:rsidR="00AB4B52">
        <w:t xml:space="preserve"> svibnja 2023</w:t>
      </w:r>
      <w:r>
        <w:t xml:space="preserve">. godine Povjerenstvo za procjenu šteta od </w:t>
      </w:r>
      <w:r w:rsidR="001B2089">
        <w:t xml:space="preserve">prirodnih nepogoda na području Općine </w:t>
      </w:r>
      <w:r w:rsidR="004B7C0D">
        <w:t>Čađavica</w:t>
      </w:r>
      <w:r w:rsidR="00F004F7">
        <w:t xml:space="preserve"> </w:t>
      </w:r>
      <w:r>
        <w:t>donosi sljedeću</w:t>
      </w:r>
    </w:p>
    <w:p w14:paraId="4D4628C4" w14:textId="77777777" w:rsidR="001A582B" w:rsidRDefault="001A582B"/>
    <w:p w14:paraId="0EA946F6" w14:textId="77777777" w:rsidR="001A582B" w:rsidRDefault="001A582B"/>
    <w:p w14:paraId="0BCCDF2F" w14:textId="4A102DA9" w:rsidR="0052032C" w:rsidRPr="00A318FB" w:rsidRDefault="001A582B" w:rsidP="00A318FB">
      <w:pPr>
        <w:jc w:val="center"/>
        <w:rPr>
          <w:b/>
          <w:bCs/>
          <w:sz w:val="28"/>
          <w:szCs w:val="28"/>
        </w:rPr>
      </w:pPr>
      <w:r w:rsidRPr="00A318FB">
        <w:rPr>
          <w:b/>
          <w:bCs/>
          <w:sz w:val="28"/>
          <w:szCs w:val="28"/>
        </w:rPr>
        <w:t>OBAVIJEST</w:t>
      </w:r>
    </w:p>
    <w:p w14:paraId="69B484F5" w14:textId="4D5D9FAB" w:rsidR="001A582B" w:rsidRDefault="001A582B"/>
    <w:p w14:paraId="4F3E56E3" w14:textId="1CEA8F0A" w:rsidR="00BA5078" w:rsidRDefault="00AB4B52">
      <w:r w:rsidRPr="00AB4B52">
        <w:t xml:space="preserve">Virovitičko-podravski župan Igor </w:t>
      </w:r>
      <w:proofErr w:type="spellStart"/>
      <w:r w:rsidRPr="00AB4B52">
        <w:t>Andrović</w:t>
      </w:r>
      <w:proofErr w:type="spellEnd"/>
      <w:r w:rsidRPr="00AB4B52">
        <w:t xml:space="preserve">, donio je Odluku o proglašenju prirodne nepogode zbog poplave, za područje Grada Orahovice, te općina – Crnac, </w:t>
      </w:r>
      <w:proofErr w:type="spellStart"/>
      <w:r w:rsidR="00FA107D">
        <w:t>Čačinci</w:t>
      </w:r>
      <w:proofErr w:type="spellEnd"/>
      <w:r w:rsidRPr="00AB4B52">
        <w:t xml:space="preserve">, Čađavica, </w:t>
      </w:r>
      <w:proofErr w:type="spellStart"/>
      <w:r w:rsidRPr="00AB4B52">
        <w:t>Mikleuš</w:t>
      </w:r>
      <w:proofErr w:type="spellEnd"/>
      <w:r w:rsidRPr="00AB4B52">
        <w:t xml:space="preserve"> i </w:t>
      </w:r>
      <w:proofErr w:type="spellStart"/>
      <w:r w:rsidRPr="00AB4B52">
        <w:t>Sopje</w:t>
      </w:r>
      <w:proofErr w:type="spellEnd"/>
      <w:r w:rsidRPr="00AB4B52">
        <w:t>. Prirodna nepogoda proglašena je za navedena područja zbog prekomjernih oborina koje su uzrokovale poplave tijekom svibnja. Uslijed njih, na navedenom području nastale su velike materijalne štete na svim poljoprivrednim kulturama, trajnim nasadima i plastenicima, te društvenim, gospodarskim te stambenim objektima.</w:t>
      </w:r>
    </w:p>
    <w:p w14:paraId="5ACCD065" w14:textId="77777777" w:rsidR="00AB4B52" w:rsidRDefault="00AB4B52"/>
    <w:p w14:paraId="4033E978" w14:textId="1BC6F5F6" w:rsidR="001B2089" w:rsidRDefault="001B2089">
      <w:r w:rsidRPr="00A318FB">
        <w:rPr>
          <w:b/>
          <w:bCs/>
        </w:rPr>
        <w:t xml:space="preserve">Fizičke i pravne osobe štetu prijavljuju u prostorijama Općine </w:t>
      </w:r>
      <w:r w:rsidR="0082303C">
        <w:rPr>
          <w:b/>
          <w:bCs/>
        </w:rPr>
        <w:t>Čađavica</w:t>
      </w:r>
      <w:r w:rsidR="00F004F7">
        <w:rPr>
          <w:b/>
          <w:bCs/>
        </w:rPr>
        <w:t xml:space="preserve">, </w:t>
      </w:r>
      <w:r w:rsidR="0082303C">
        <w:rPr>
          <w:b/>
          <w:bCs/>
        </w:rPr>
        <w:t>Kolodvorska</w:t>
      </w:r>
      <w:r w:rsidR="00F004F7">
        <w:rPr>
          <w:b/>
          <w:bCs/>
        </w:rPr>
        <w:t xml:space="preserve"> 2, 33</w:t>
      </w:r>
      <w:r w:rsidR="0082303C">
        <w:rPr>
          <w:b/>
          <w:bCs/>
        </w:rPr>
        <w:t>523</w:t>
      </w:r>
      <w:r w:rsidR="00F004F7">
        <w:rPr>
          <w:b/>
          <w:bCs/>
        </w:rPr>
        <w:t xml:space="preserve"> </w:t>
      </w:r>
      <w:r w:rsidR="0082303C">
        <w:rPr>
          <w:b/>
          <w:bCs/>
        </w:rPr>
        <w:t>Čađavica</w:t>
      </w:r>
      <w:r w:rsidR="00F004F7">
        <w:rPr>
          <w:b/>
          <w:bCs/>
        </w:rPr>
        <w:t xml:space="preserve"> </w:t>
      </w:r>
      <w:r w:rsidRPr="00A318FB">
        <w:rPr>
          <w:b/>
          <w:bCs/>
        </w:rPr>
        <w:t xml:space="preserve"> svakim  radnim danom od 09,00-1</w:t>
      </w:r>
      <w:r w:rsidR="00F004F7">
        <w:rPr>
          <w:b/>
          <w:bCs/>
        </w:rPr>
        <w:t>3</w:t>
      </w:r>
      <w:r w:rsidRPr="00A318FB">
        <w:rPr>
          <w:b/>
          <w:bCs/>
        </w:rPr>
        <w:t xml:space="preserve">,00 sati </w:t>
      </w:r>
      <w:r w:rsidRPr="00A318FB">
        <w:rPr>
          <w:b/>
          <w:bCs/>
          <w:u w:val="single"/>
        </w:rPr>
        <w:t>na propisanom obrascu</w:t>
      </w:r>
      <w:r w:rsidRPr="00A318FB">
        <w:rPr>
          <w:b/>
          <w:bCs/>
        </w:rPr>
        <w:t xml:space="preserve">  </w:t>
      </w:r>
      <w:r w:rsidRPr="00A318FB">
        <w:rPr>
          <w:b/>
          <w:bCs/>
          <w:u w:val="single"/>
        </w:rPr>
        <w:t>EN-P</w:t>
      </w:r>
      <w:r w:rsidRPr="00A318FB">
        <w:rPr>
          <w:b/>
          <w:bCs/>
        </w:rPr>
        <w:t xml:space="preserve"> </w:t>
      </w:r>
      <w:r w:rsidRPr="00A318FB">
        <w:rPr>
          <w:b/>
          <w:bCs/>
          <w:u w:val="single"/>
        </w:rPr>
        <w:t>sa zbrojenim površinama za svaku kulturu koju prijavljuju</w:t>
      </w:r>
      <w:r>
        <w:t>.</w:t>
      </w:r>
    </w:p>
    <w:p w14:paraId="2564F1F7" w14:textId="77777777" w:rsidR="00A318FB" w:rsidRDefault="00A318FB"/>
    <w:p w14:paraId="5A5A930E" w14:textId="6364EBCB" w:rsidR="00A318FB" w:rsidRDefault="001B2089">
      <w:pPr>
        <w:rPr>
          <w:b/>
          <w:bCs/>
        </w:rPr>
      </w:pPr>
      <w:r w:rsidRPr="00A318FB">
        <w:t>Uz prijavu je potrebno dostaviti</w:t>
      </w:r>
      <w:r w:rsidR="00A318FB">
        <w:rPr>
          <w:b/>
          <w:bCs/>
        </w:rPr>
        <w:t>:</w:t>
      </w:r>
    </w:p>
    <w:p w14:paraId="31B6BDD6" w14:textId="77777777" w:rsidR="00EE6A4D" w:rsidRDefault="00EE6A4D">
      <w:pPr>
        <w:rPr>
          <w:b/>
          <w:bCs/>
        </w:rPr>
      </w:pPr>
    </w:p>
    <w:p w14:paraId="0BA9FBC4" w14:textId="2EA0FE1A" w:rsidR="00A318FB" w:rsidRPr="00A318FB" w:rsidRDefault="001B2089" w:rsidP="00A318FB">
      <w:pPr>
        <w:pStyle w:val="ListParagraph"/>
        <w:numPr>
          <w:ilvl w:val="0"/>
          <w:numId w:val="2"/>
        </w:numPr>
        <w:rPr>
          <w:b/>
          <w:bCs/>
        </w:rPr>
      </w:pPr>
      <w:r w:rsidRPr="00A318FB">
        <w:rPr>
          <w:b/>
          <w:bCs/>
        </w:rPr>
        <w:t>LIST A - Zahtjev za potporu za 202</w:t>
      </w:r>
      <w:r w:rsidR="0046629B">
        <w:rPr>
          <w:b/>
          <w:bCs/>
        </w:rPr>
        <w:t>3</w:t>
      </w:r>
      <w:r w:rsidRPr="00A318FB">
        <w:rPr>
          <w:b/>
          <w:bCs/>
        </w:rPr>
        <w:t xml:space="preserve"> godinu</w:t>
      </w:r>
      <w:r w:rsidR="00EE6A4D">
        <w:rPr>
          <w:b/>
          <w:bCs/>
        </w:rPr>
        <w:t>,</w:t>
      </w:r>
      <w:r w:rsidRPr="00A318FB">
        <w:rPr>
          <w:b/>
          <w:bCs/>
        </w:rPr>
        <w:t xml:space="preserve"> </w:t>
      </w:r>
    </w:p>
    <w:p w14:paraId="175A551E" w14:textId="66C22FB3" w:rsidR="00A318FB" w:rsidRPr="00A318FB" w:rsidRDefault="001B2089" w:rsidP="00A318FB">
      <w:pPr>
        <w:pStyle w:val="ListParagraph"/>
        <w:numPr>
          <w:ilvl w:val="0"/>
          <w:numId w:val="2"/>
        </w:numPr>
        <w:rPr>
          <w:b/>
          <w:bCs/>
        </w:rPr>
      </w:pPr>
      <w:r w:rsidRPr="00A318FB">
        <w:rPr>
          <w:b/>
          <w:bCs/>
        </w:rPr>
        <w:t xml:space="preserve">LIST B </w:t>
      </w:r>
      <w:r w:rsidR="00A318FB" w:rsidRPr="00A318FB">
        <w:rPr>
          <w:b/>
          <w:bCs/>
        </w:rPr>
        <w:t xml:space="preserve">- </w:t>
      </w:r>
      <w:r w:rsidRPr="00A318FB">
        <w:rPr>
          <w:b/>
          <w:bCs/>
        </w:rPr>
        <w:t>Prijave površina za 202</w:t>
      </w:r>
      <w:r w:rsidR="0046629B">
        <w:rPr>
          <w:b/>
          <w:bCs/>
        </w:rPr>
        <w:t>3</w:t>
      </w:r>
      <w:r w:rsidRPr="00A318FB">
        <w:rPr>
          <w:b/>
          <w:bCs/>
        </w:rPr>
        <w:t>. godinu</w:t>
      </w:r>
      <w:r w:rsidR="00EE6A4D">
        <w:rPr>
          <w:b/>
          <w:bCs/>
        </w:rPr>
        <w:t>,</w:t>
      </w:r>
      <w:r w:rsidRPr="00A318FB">
        <w:rPr>
          <w:b/>
          <w:bCs/>
        </w:rPr>
        <w:t xml:space="preserve"> </w:t>
      </w:r>
    </w:p>
    <w:p w14:paraId="6A8D1A3E" w14:textId="1EB3C936" w:rsidR="001B2089" w:rsidRPr="00A318FB" w:rsidRDefault="001B2089" w:rsidP="00A318FB">
      <w:pPr>
        <w:pStyle w:val="ListParagraph"/>
        <w:numPr>
          <w:ilvl w:val="0"/>
          <w:numId w:val="2"/>
        </w:numPr>
        <w:rPr>
          <w:b/>
          <w:bCs/>
        </w:rPr>
      </w:pPr>
      <w:r w:rsidRPr="00A318FB">
        <w:rPr>
          <w:b/>
          <w:bCs/>
        </w:rPr>
        <w:t xml:space="preserve">Izjavu da imovina koja se prijavljuje nije osigurana po osnovi proglašene </w:t>
      </w:r>
      <w:r w:rsidR="00A318FB" w:rsidRPr="00A318FB">
        <w:rPr>
          <w:b/>
          <w:bCs/>
        </w:rPr>
        <w:t>elementarne nepogode.</w:t>
      </w:r>
    </w:p>
    <w:p w14:paraId="785D46C3" w14:textId="77777777" w:rsidR="00A318FB" w:rsidRPr="00A318FB" w:rsidRDefault="00A318FB">
      <w:pPr>
        <w:rPr>
          <w:b/>
          <w:bCs/>
        </w:rPr>
      </w:pPr>
    </w:p>
    <w:p w14:paraId="3ED07C82" w14:textId="5F4561AA" w:rsidR="00A318FB" w:rsidRDefault="00A318FB"/>
    <w:p w14:paraId="03C099D1" w14:textId="24847762" w:rsidR="00A318FB" w:rsidRDefault="00A318FB">
      <w:r w:rsidRPr="00A318FB">
        <w:rPr>
          <w:b/>
          <w:bCs/>
        </w:rPr>
        <w:t xml:space="preserve">Prijave se podnose zaključno do </w:t>
      </w:r>
      <w:r w:rsidR="00C05C71">
        <w:rPr>
          <w:b/>
          <w:bCs/>
        </w:rPr>
        <w:t>26</w:t>
      </w:r>
      <w:r w:rsidRPr="00A318FB">
        <w:rPr>
          <w:b/>
          <w:bCs/>
        </w:rPr>
        <w:t xml:space="preserve">. </w:t>
      </w:r>
      <w:r w:rsidR="0046629B">
        <w:rPr>
          <w:b/>
          <w:bCs/>
        </w:rPr>
        <w:t>svibnja</w:t>
      </w:r>
      <w:r w:rsidRPr="00A318FB">
        <w:rPr>
          <w:b/>
          <w:bCs/>
        </w:rPr>
        <w:t xml:space="preserve"> 202</w:t>
      </w:r>
      <w:r w:rsidR="0046629B">
        <w:rPr>
          <w:b/>
          <w:bCs/>
        </w:rPr>
        <w:t>3</w:t>
      </w:r>
      <w:r w:rsidRPr="00A318FB">
        <w:rPr>
          <w:b/>
          <w:bCs/>
        </w:rPr>
        <w:t>. godine do 1</w:t>
      </w:r>
      <w:r w:rsidR="00FA107D">
        <w:rPr>
          <w:b/>
          <w:bCs/>
        </w:rPr>
        <w:t>3,</w:t>
      </w:r>
      <w:r w:rsidRPr="00A318FB">
        <w:rPr>
          <w:b/>
          <w:bCs/>
        </w:rPr>
        <w:t>00 sati</w:t>
      </w:r>
      <w:r>
        <w:t>.</w:t>
      </w:r>
    </w:p>
    <w:p w14:paraId="5A248A82" w14:textId="77777777" w:rsidR="00EE6A4D" w:rsidRDefault="00EE6A4D"/>
    <w:p w14:paraId="5A729EE1" w14:textId="7C07AF6D" w:rsidR="00A318FB" w:rsidRDefault="00A318FB"/>
    <w:p w14:paraId="69267B36" w14:textId="0451B8BD" w:rsidR="00A318FB" w:rsidRDefault="00A318FB"/>
    <w:p w14:paraId="0493ADD0" w14:textId="03F5AFB4" w:rsidR="00A318FB" w:rsidRDefault="00A318FB" w:rsidP="00F004F7">
      <w:pPr>
        <w:jc w:val="right"/>
      </w:pPr>
      <w:r>
        <w:t>Predsjednik Povjerenstva</w:t>
      </w:r>
      <w:r w:rsidR="00F004F7">
        <w:t>:</w:t>
      </w:r>
    </w:p>
    <w:p w14:paraId="65B8AFE1" w14:textId="77777777" w:rsidR="00FC356B" w:rsidRDefault="00FC356B" w:rsidP="00F004F7">
      <w:pPr>
        <w:jc w:val="right"/>
      </w:pPr>
    </w:p>
    <w:p w14:paraId="029286DE" w14:textId="0DC70011" w:rsidR="001A582B" w:rsidRDefault="0082303C" w:rsidP="0082303C">
      <w:pPr>
        <w:jc w:val="right"/>
      </w:pPr>
      <w:r>
        <w:t>Marijo Pejić</w:t>
      </w:r>
    </w:p>
    <w:p w14:paraId="78AAD583" w14:textId="419E583D" w:rsidR="001A582B" w:rsidRDefault="001A582B"/>
    <w:sectPr w:rsidR="001A582B" w:rsidSect="00E466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D93899"/>
    <w:multiLevelType w:val="hybridMultilevel"/>
    <w:tmpl w:val="F76E014E"/>
    <w:lvl w:ilvl="0" w:tplc="51164BCA">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6D5D5AF7"/>
    <w:multiLevelType w:val="hybridMultilevel"/>
    <w:tmpl w:val="F356EA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130082136">
    <w:abstractNumId w:val="1"/>
  </w:num>
  <w:num w:numId="2" w16cid:durableId="865602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82B"/>
    <w:rsid w:val="000D7AB3"/>
    <w:rsid w:val="001335BC"/>
    <w:rsid w:val="00160988"/>
    <w:rsid w:val="001A582B"/>
    <w:rsid w:val="001B19B5"/>
    <w:rsid w:val="001B2089"/>
    <w:rsid w:val="001C247E"/>
    <w:rsid w:val="001C4917"/>
    <w:rsid w:val="00276A8C"/>
    <w:rsid w:val="002950BE"/>
    <w:rsid w:val="002A0F0B"/>
    <w:rsid w:val="002E1136"/>
    <w:rsid w:val="004325B7"/>
    <w:rsid w:val="00462725"/>
    <w:rsid w:val="0046629B"/>
    <w:rsid w:val="00481808"/>
    <w:rsid w:val="004B61B8"/>
    <w:rsid w:val="004B7C0D"/>
    <w:rsid w:val="004F16FE"/>
    <w:rsid w:val="00542326"/>
    <w:rsid w:val="005520F5"/>
    <w:rsid w:val="005E0657"/>
    <w:rsid w:val="0068630F"/>
    <w:rsid w:val="006B7693"/>
    <w:rsid w:val="006E132C"/>
    <w:rsid w:val="0081757A"/>
    <w:rsid w:val="0082303C"/>
    <w:rsid w:val="008D68F6"/>
    <w:rsid w:val="00931DCA"/>
    <w:rsid w:val="009B1029"/>
    <w:rsid w:val="00A318FB"/>
    <w:rsid w:val="00A4169F"/>
    <w:rsid w:val="00AB4B52"/>
    <w:rsid w:val="00B210F0"/>
    <w:rsid w:val="00B35271"/>
    <w:rsid w:val="00B817D8"/>
    <w:rsid w:val="00BA5078"/>
    <w:rsid w:val="00BD7BFD"/>
    <w:rsid w:val="00C05C71"/>
    <w:rsid w:val="00C07C54"/>
    <w:rsid w:val="00C77D01"/>
    <w:rsid w:val="00CB7937"/>
    <w:rsid w:val="00CD4188"/>
    <w:rsid w:val="00E46610"/>
    <w:rsid w:val="00E82EE8"/>
    <w:rsid w:val="00E903FE"/>
    <w:rsid w:val="00EA0514"/>
    <w:rsid w:val="00EE6A4D"/>
    <w:rsid w:val="00F004F7"/>
    <w:rsid w:val="00F24969"/>
    <w:rsid w:val="00FA107D"/>
    <w:rsid w:val="00FC28CD"/>
    <w:rsid w:val="00FC356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C98B0"/>
  <w15:chartTrackingRefBased/>
  <w15:docId w15:val="{996A0A92-8E70-4EBA-96A0-FA7B5F433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1B8"/>
    <w:pPr>
      <w:spacing w:after="0" w:line="240" w:lineRule="auto"/>
    </w:pPr>
    <w:rPr>
      <w:lang w:eastAsia="hr-HR"/>
    </w:rPr>
  </w:style>
  <w:style w:type="paragraph" w:styleId="Heading4">
    <w:name w:val="heading 4"/>
    <w:basedOn w:val="Normal"/>
    <w:link w:val="Heading4Char"/>
    <w:uiPriority w:val="9"/>
    <w:qFormat/>
    <w:rsid w:val="004B61B8"/>
    <w:pPr>
      <w:spacing w:before="100" w:beforeAutospacing="1" w:after="100" w:afterAutospacing="1"/>
      <w:outlineLvl w:val="3"/>
    </w:pPr>
    <w:rPr>
      <w:rFonts w:eastAsia="Times New Roman" w:cs="Times New Roman"/>
      <w:b/>
      <w:bCs/>
      <w:lang w:val="en-US" w:eastAsia="en-US"/>
    </w:rPr>
  </w:style>
  <w:style w:type="paragraph" w:styleId="Heading6">
    <w:name w:val="heading 6"/>
    <w:basedOn w:val="Normal"/>
    <w:link w:val="Heading6Char"/>
    <w:uiPriority w:val="9"/>
    <w:qFormat/>
    <w:rsid w:val="004B61B8"/>
    <w:pPr>
      <w:spacing w:before="100" w:beforeAutospacing="1" w:after="100" w:afterAutospacing="1"/>
      <w:outlineLvl w:val="5"/>
    </w:pPr>
    <w:rPr>
      <w:rFonts w:eastAsia="Times New Roman" w:cs="Times New Roman"/>
      <w:b/>
      <w:bCs/>
      <w:sz w:val="15"/>
      <w:szCs w:val="15"/>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B61B8"/>
    <w:rPr>
      <w:rFonts w:ascii="Times New Roman" w:eastAsia="Times New Roman" w:hAnsi="Times New Roman" w:cs="Times New Roman"/>
      <w:b/>
      <w:bCs/>
      <w:sz w:val="24"/>
      <w:szCs w:val="24"/>
      <w:lang w:val="en-US"/>
    </w:rPr>
  </w:style>
  <w:style w:type="character" w:customStyle="1" w:styleId="Heading6Char">
    <w:name w:val="Heading 6 Char"/>
    <w:basedOn w:val="DefaultParagraphFont"/>
    <w:link w:val="Heading6"/>
    <w:uiPriority w:val="9"/>
    <w:rsid w:val="004B61B8"/>
    <w:rPr>
      <w:rFonts w:ascii="Times New Roman" w:eastAsia="Times New Roman" w:hAnsi="Times New Roman" w:cs="Times New Roman"/>
      <w:b/>
      <w:bCs/>
      <w:sz w:val="15"/>
      <w:szCs w:val="15"/>
      <w:lang w:val="en-US"/>
    </w:rPr>
  </w:style>
  <w:style w:type="character" w:styleId="Strong">
    <w:name w:val="Strong"/>
    <w:basedOn w:val="DefaultParagraphFont"/>
    <w:uiPriority w:val="22"/>
    <w:qFormat/>
    <w:rsid w:val="004B61B8"/>
    <w:rPr>
      <w:b/>
      <w:bCs/>
    </w:rPr>
  </w:style>
  <w:style w:type="character" w:styleId="Emphasis">
    <w:name w:val="Emphasis"/>
    <w:basedOn w:val="DefaultParagraphFont"/>
    <w:uiPriority w:val="20"/>
    <w:qFormat/>
    <w:rsid w:val="004B61B8"/>
    <w:rPr>
      <w:i/>
      <w:iCs/>
    </w:rPr>
  </w:style>
  <w:style w:type="paragraph" w:styleId="ListParagraph">
    <w:name w:val="List Paragraph"/>
    <w:basedOn w:val="Normal"/>
    <w:uiPriority w:val="34"/>
    <w:qFormat/>
    <w:rsid w:val="004B61B8"/>
    <w:pPr>
      <w:ind w:left="720"/>
      <w:contextualSpacing/>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212</Words>
  <Characters>1214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Općina Čačinci</dc:creator>
  <cp:keywords/>
  <dc:description/>
  <cp:lastModifiedBy>Igor Čiček</cp:lastModifiedBy>
  <cp:revision>12</cp:revision>
  <cp:lastPrinted>2021-07-14T08:24:00Z</cp:lastPrinted>
  <dcterms:created xsi:type="dcterms:W3CDTF">2021-07-14T07:05:00Z</dcterms:created>
  <dcterms:modified xsi:type="dcterms:W3CDTF">2023-05-18T12:06:00Z</dcterms:modified>
</cp:coreProperties>
</file>