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7ED2" w14:textId="345C8586"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8"/>
          <w:szCs w:val="28"/>
          <w:lang w:eastAsia="hr-HR"/>
        </w:rPr>
        <w:t xml:space="preserve">Na </w:t>
      </w:r>
      <w:r w:rsidRPr="005853EB">
        <w:rPr>
          <w:rFonts w:ascii="Times New Roman" w:eastAsia="Times New Roman" w:hAnsi="Times New Roman" w:cs="Times New Roman"/>
          <w:sz w:val="24"/>
          <w:szCs w:val="24"/>
          <w:lang w:eastAsia="hr-HR"/>
        </w:rPr>
        <w:t xml:space="preserve">temelju članka 19. Zakona o službenicima i namještenicima u lokalnoj i područnoj (regionalnoj) samoupravi, («Narodne novine» broj 86/08, 61/11, 04/18 i 112/19 ), a u svezi Javnog natječaja za imenovanje pročelnika  Jedinstvenog  upravnog  odjela Općine Čađavica  </w:t>
      </w:r>
      <w:r w:rsidRPr="00EF6A9F">
        <w:rPr>
          <w:rFonts w:ascii="Times New Roman" w:eastAsia="Times New Roman" w:hAnsi="Times New Roman" w:cs="Times New Roman"/>
          <w:sz w:val="24"/>
          <w:szCs w:val="24"/>
          <w:lang w:eastAsia="hr-HR"/>
        </w:rPr>
        <w:t>objavljen u „Narodnim novinama“, broj:</w:t>
      </w:r>
      <w:r w:rsidR="00EF6A9F" w:rsidRPr="00EF6A9F">
        <w:rPr>
          <w:rFonts w:ascii="Times New Roman" w:eastAsia="Times New Roman" w:hAnsi="Times New Roman" w:cs="Times New Roman"/>
          <w:sz w:val="24"/>
          <w:szCs w:val="24"/>
          <w:lang w:eastAsia="hr-HR"/>
        </w:rPr>
        <w:t>135</w:t>
      </w:r>
      <w:r w:rsidRPr="00EF6A9F">
        <w:rPr>
          <w:rFonts w:ascii="Times New Roman" w:eastAsia="Times New Roman" w:hAnsi="Times New Roman" w:cs="Times New Roman"/>
          <w:sz w:val="24"/>
          <w:szCs w:val="24"/>
          <w:lang w:eastAsia="hr-HR"/>
        </w:rPr>
        <w:t xml:space="preserve"> od</w:t>
      </w:r>
      <w:r w:rsidR="00EF6A9F" w:rsidRPr="00EF6A9F">
        <w:rPr>
          <w:rFonts w:ascii="Times New Roman" w:eastAsia="Times New Roman" w:hAnsi="Times New Roman" w:cs="Times New Roman"/>
          <w:sz w:val="24"/>
          <w:szCs w:val="24"/>
          <w:lang w:eastAsia="hr-HR"/>
        </w:rPr>
        <w:t xml:space="preserve"> 10.11.</w:t>
      </w:r>
      <w:r w:rsidRPr="00EF6A9F">
        <w:rPr>
          <w:rFonts w:ascii="Times New Roman" w:eastAsia="Times New Roman" w:hAnsi="Times New Roman" w:cs="Times New Roman"/>
          <w:sz w:val="24"/>
          <w:szCs w:val="24"/>
          <w:lang w:eastAsia="hr-HR"/>
        </w:rPr>
        <w:t xml:space="preserve">2023.godine </w:t>
      </w:r>
      <w:r w:rsidRPr="005853EB">
        <w:rPr>
          <w:rFonts w:ascii="Times New Roman" w:eastAsia="Times New Roman" w:hAnsi="Times New Roman" w:cs="Times New Roman"/>
          <w:sz w:val="24"/>
          <w:szCs w:val="24"/>
          <w:lang w:eastAsia="hr-HR"/>
        </w:rPr>
        <w:t xml:space="preserve">načelnik </w:t>
      </w:r>
      <w:r w:rsidR="00EF6A9F">
        <w:rPr>
          <w:rFonts w:ascii="Times New Roman" w:eastAsia="Times New Roman" w:hAnsi="Times New Roman" w:cs="Times New Roman"/>
          <w:sz w:val="24"/>
          <w:szCs w:val="24"/>
          <w:lang w:eastAsia="hr-HR"/>
        </w:rPr>
        <w:t>Opć</w:t>
      </w:r>
      <w:r w:rsidRPr="005853EB">
        <w:rPr>
          <w:rFonts w:ascii="Times New Roman" w:eastAsia="Times New Roman" w:hAnsi="Times New Roman" w:cs="Times New Roman"/>
          <w:sz w:val="24"/>
          <w:szCs w:val="24"/>
          <w:lang w:eastAsia="hr-HR"/>
        </w:rPr>
        <w:t>ine Čađavica objavljuje</w:t>
      </w:r>
    </w:p>
    <w:p w14:paraId="60FF2384" w14:textId="77777777" w:rsidR="005853EB" w:rsidRPr="005853EB" w:rsidRDefault="005853EB" w:rsidP="005853EB">
      <w:pPr>
        <w:spacing w:after="0" w:line="240" w:lineRule="auto"/>
        <w:rPr>
          <w:rFonts w:ascii="Times New Roman" w:eastAsia="Times New Roman" w:hAnsi="Times New Roman" w:cs="Times New Roman"/>
          <w:sz w:val="24"/>
          <w:szCs w:val="24"/>
          <w:lang w:eastAsia="hr-HR"/>
        </w:rPr>
      </w:pPr>
    </w:p>
    <w:p w14:paraId="37026801" w14:textId="77777777" w:rsidR="005853EB" w:rsidRPr="005853EB" w:rsidRDefault="005853EB" w:rsidP="005853EB">
      <w:pPr>
        <w:spacing w:after="0" w:line="240" w:lineRule="auto"/>
        <w:jc w:val="center"/>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 xml:space="preserve">OBAVIJEST I UPUTE KANDIDATIMA  O PRAVNIM I DRUGIM IZVORIMA </w:t>
      </w:r>
    </w:p>
    <w:p w14:paraId="725CBB29" w14:textId="77777777" w:rsidR="005853EB" w:rsidRPr="005853EB" w:rsidRDefault="005853EB" w:rsidP="005853EB">
      <w:pPr>
        <w:spacing w:after="0" w:line="240" w:lineRule="auto"/>
        <w:jc w:val="center"/>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 xml:space="preserve">ZA PRIPREMANJE KANDIDATA ZA PRETHODNU PROVJERU </w:t>
      </w:r>
    </w:p>
    <w:p w14:paraId="6A851B10" w14:textId="77777777" w:rsidR="005853EB" w:rsidRPr="005853EB" w:rsidRDefault="005853EB" w:rsidP="005853EB">
      <w:pPr>
        <w:spacing w:after="0" w:line="240" w:lineRule="auto"/>
        <w:jc w:val="center"/>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ZNANJA I SPOSOBNOSTI</w:t>
      </w:r>
    </w:p>
    <w:p w14:paraId="0F6C28BB" w14:textId="77777777" w:rsidR="005853EB" w:rsidRPr="005853EB" w:rsidRDefault="005853EB" w:rsidP="005853EB">
      <w:pPr>
        <w:spacing w:after="0" w:line="240" w:lineRule="auto"/>
        <w:jc w:val="center"/>
        <w:rPr>
          <w:rFonts w:ascii="Times New Roman" w:eastAsia="Times New Roman" w:hAnsi="Times New Roman" w:cs="Times New Roman"/>
          <w:b/>
          <w:sz w:val="24"/>
          <w:szCs w:val="24"/>
          <w:lang w:eastAsia="hr-HR"/>
        </w:rPr>
      </w:pPr>
    </w:p>
    <w:p w14:paraId="43634156" w14:textId="77777777" w:rsidR="005853EB" w:rsidRPr="005853EB" w:rsidRDefault="005853EB" w:rsidP="005853EB">
      <w:pPr>
        <w:spacing w:after="0" w:line="240" w:lineRule="auto"/>
        <w:jc w:val="center"/>
        <w:rPr>
          <w:rFonts w:ascii="Times New Roman" w:eastAsia="Times New Roman" w:hAnsi="Times New Roman" w:cs="Times New Roman"/>
          <w:b/>
          <w:sz w:val="24"/>
          <w:szCs w:val="24"/>
          <w:lang w:eastAsia="hr-HR"/>
        </w:rPr>
      </w:pPr>
    </w:p>
    <w:p w14:paraId="51CE4AF2" w14:textId="77777777" w:rsidR="005853EB" w:rsidRPr="005853EB" w:rsidRDefault="005853EB" w:rsidP="005853EB">
      <w:pPr>
        <w:spacing w:after="0" w:line="240" w:lineRule="auto"/>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Javni natječaj za imenovanje: </w:t>
      </w:r>
    </w:p>
    <w:p w14:paraId="721E036C" w14:textId="77777777" w:rsidR="005853EB" w:rsidRPr="005853EB" w:rsidRDefault="005853EB" w:rsidP="005853EB">
      <w:pPr>
        <w:spacing w:after="0" w:line="240" w:lineRule="auto"/>
        <w:rPr>
          <w:rFonts w:ascii="Times New Roman" w:eastAsia="Times New Roman" w:hAnsi="Times New Roman" w:cs="Times New Roman"/>
          <w:sz w:val="24"/>
          <w:szCs w:val="24"/>
          <w:lang w:eastAsia="hr-HR"/>
        </w:rPr>
      </w:pPr>
    </w:p>
    <w:p w14:paraId="04763A74"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PROČELNIKA</w:t>
      </w:r>
      <w:r w:rsidRPr="005853EB">
        <w:rPr>
          <w:rFonts w:ascii="Times New Roman" w:eastAsia="Times New Roman" w:hAnsi="Times New Roman" w:cs="Times New Roman"/>
          <w:b/>
          <w:bCs/>
          <w:sz w:val="24"/>
          <w:szCs w:val="24"/>
          <w:lang w:eastAsia="hr-HR"/>
        </w:rPr>
        <w:t xml:space="preserve"> Jedinstvenog upravnog odjela Općine Čađavica, - </w:t>
      </w:r>
      <w:r w:rsidRPr="005853EB">
        <w:rPr>
          <w:rFonts w:ascii="Times New Roman" w:eastAsia="Times New Roman" w:hAnsi="Times New Roman" w:cs="Times New Roman"/>
          <w:sz w:val="24"/>
          <w:szCs w:val="24"/>
          <w:lang w:eastAsia="hr-HR"/>
        </w:rPr>
        <w:t>1 izvršitelj/ica na neodređeno vrijeme uz probni rok od tri mjeseca</w:t>
      </w:r>
    </w:p>
    <w:p w14:paraId="46AD1D20"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p>
    <w:p w14:paraId="7A433C2C"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p>
    <w:p w14:paraId="0068653D" w14:textId="77777777" w:rsidR="005853EB" w:rsidRPr="005853EB" w:rsidRDefault="005853EB" w:rsidP="005853EB">
      <w:pPr>
        <w:spacing w:after="0" w:line="240" w:lineRule="auto"/>
        <w:jc w:val="both"/>
        <w:rPr>
          <w:rFonts w:ascii="Times New Roman" w:eastAsia="Times New Roman" w:hAnsi="Times New Roman" w:cs="Times New Roman"/>
          <w:b/>
          <w:sz w:val="24"/>
          <w:szCs w:val="24"/>
          <w:u w:val="single"/>
          <w:lang w:eastAsia="hr-HR"/>
        </w:rPr>
      </w:pPr>
      <w:r w:rsidRPr="005853EB">
        <w:rPr>
          <w:rFonts w:ascii="Times New Roman" w:eastAsia="Times New Roman" w:hAnsi="Times New Roman" w:cs="Times New Roman"/>
          <w:b/>
          <w:sz w:val="24"/>
          <w:szCs w:val="24"/>
          <w:u w:val="single"/>
          <w:lang w:eastAsia="hr-HR"/>
        </w:rPr>
        <w:t xml:space="preserve">OPIS POSLOVA I ZADATAKA:  </w:t>
      </w:r>
    </w:p>
    <w:p w14:paraId="40009560" w14:textId="77777777" w:rsidR="005853EB" w:rsidRPr="005853EB" w:rsidRDefault="005853EB" w:rsidP="005853EB">
      <w:pPr>
        <w:spacing w:after="0" w:line="240" w:lineRule="atLeast"/>
        <w:jc w:val="both"/>
        <w:rPr>
          <w:rFonts w:ascii="Times New Roman" w:eastAsia="Times New Roman" w:hAnsi="Times New Roman" w:cs="Times New Roman"/>
          <w:b/>
          <w:sz w:val="24"/>
          <w:szCs w:val="24"/>
          <w:u w:val="single"/>
          <w:lang w:eastAsia="hr-HR"/>
        </w:rPr>
      </w:pPr>
    </w:p>
    <w:tbl>
      <w:tblPr>
        <w:tblW w:w="0" w:type="auto"/>
        <w:tblBorders>
          <w:insideH w:val="single" w:sz="4" w:space="0" w:color="auto"/>
          <w:insideV w:val="single" w:sz="4" w:space="0" w:color="auto"/>
        </w:tblBorders>
        <w:tblLook w:val="04A0" w:firstRow="1" w:lastRow="0" w:firstColumn="1" w:lastColumn="0" w:noHBand="0" w:noVBand="1"/>
      </w:tblPr>
      <w:tblGrid>
        <w:gridCol w:w="8217"/>
      </w:tblGrid>
      <w:tr w:rsidR="005853EB" w:rsidRPr="005853EB" w14:paraId="527FF391" w14:textId="77777777" w:rsidTr="00E002A9">
        <w:tc>
          <w:tcPr>
            <w:tcW w:w="8217" w:type="dxa"/>
            <w:shd w:val="clear" w:color="auto" w:fill="auto"/>
          </w:tcPr>
          <w:p w14:paraId="716F50E6"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planira, organizira, upravlja i koordinira rad Odjela u skladu sa zakonom i drugim propisima,</w:t>
            </w:r>
          </w:p>
          <w:p w14:paraId="567F8BA7"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određuje prioritete i raspored izvršavanja poslova ,                                                  </w:t>
            </w:r>
          </w:p>
          <w:p w14:paraId="761D687F"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nadzire dinamiku izvršavanja poslova i brine o pravovremenosti i kvaliteti njihova izvršavanja, </w:t>
            </w:r>
          </w:p>
          <w:p w14:paraId="613EC061"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daje upute službenicima za obavljanje poslova i zadaća,</w:t>
            </w:r>
          </w:p>
          <w:p w14:paraId="3F6726F9"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osigurava koordinaciju i suradnju u radu Odjela s drugim pravnim osobama, prema ministarstvima, županijskim tijelima, tijelima državne uprave i jedinicama lokalne samouprave,</w:t>
            </w:r>
          </w:p>
          <w:p w14:paraId="734F0136"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Calibri" w:hAnsi="Times New Roman" w:cs="Times New Roman"/>
                <w:sz w:val="24"/>
                <w:szCs w:val="24"/>
                <w:lang w:eastAsia="hr-HR"/>
              </w:rPr>
              <w:t>sudjeluje u pripremi i provođenju postupaka  javne i bagatelne nabave ,</w:t>
            </w:r>
          </w:p>
          <w:p w14:paraId="38EE5DE4" w14:textId="77777777" w:rsidR="005853EB" w:rsidRPr="005853EB" w:rsidRDefault="005853EB" w:rsidP="005853EB">
            <w:pPr>
              <w:numPr>
                <w:ilvl w:val="0"/>
                <w:numId w:val="3"/>
              </w:numPr>
              <w:spacing w:after="0" w:line="240" w:lineRule="auto"/>
              <w:rPr>
                <w:rFonts w:ascii="Times New Roman" w:eastAsia="Calibri" w:hAnsi="Times New Roman" w:cs="Times New Roman"/>
                <w:sz w:val="24"/>
                <w:szCs w:val="24"/>
                <w:lang w:eastAsia="hr-HR"/>
              </w:rPr>
            </w:pPr>
            <w:r w:rsidRPr="005853EB">
              <w:rPr>
                <w:rFonts w:ascii="Times New Roman" w:eastAsia="Calibri" w:hAnsi="Times New Roman" w:cs="Times New Roman"/>
                <w:sz w:val="24"/>
                <w:szCs w:val="24"/>
                <w:lang w:eastAsia="hr-HR"/>
              </w:rPr>
              <w:t>brine o stručnom osposobljavanju i usavršavanju službenika,</w:t>
            </w:r>
          </w:p>
          <w:p w14:paraId="2B94D59C"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Calibri" w:hAnsi="Times New Roman" w:cs="Times New Roman"/>
                <w:sz w:val="24"/>
                <w:szCs w:val="24"/>
                <w:lang w:eastAsia="hr-HR"/>
              </w:rPr>
              <w:t>predlaže potrebna ustrojstvena i kadrovska rješenja za poboljšanje rada te vodi brigu o kreiranju akata u funkciji unaprjeđenja rada,</w:t>
            </w:r>
          </w:p>
          <w:p w14:paraId="07D39D17" w14:textId="77777777" w:rsidR="005853EB" w:rsidRPr="005853EB" w:rsidRDefault="005853EB" w:rsidP="005853EB">
            <w:pPr>
              <w:numPr>
                <w:ilvl w:val="0"/>
                <w:numId w:val="3"/>
              </w:numPr>
              <w:spacing w:after="0" w:line="240" w:lineRule="auto"/>
              <w:rPr>
                <w:rFonts w:ascii="Times New Roman" w:eastAsia="Calibri" w:hAnsi="Times New Roman" w:cs="Times New Roman"/>
                <w:sz w:val="24"/>
                <w:szCs w:val="24"/>
                <w:lang w:eastAsia="hr-HR"/>
              </w:rPr>
            </w:pPr>
            <w:r w:rsidRPr="005853EB">
              <w:rPr>
                <w:rFonts w:ascii="Times New Roman" w:eastAsia="Calibri" w:hAnsi="Times New Roman" w:cs="Times New Roman"/>
                <w:sz w:val="24"/>
                <w:szCs w:val="24"/>
                <w:lang w:eastAsia="hr-HR"/>
              </w:rPr>
              <w:t>vodi upravni postupak i donosi rješenja u najsloženijim upravnim stvarima u prvostupanjskom postupku iz djelokruga Odjela,</w:t>
            </w:r>
          </w:p>
          <w:p w14:paraId="5C3E1F8B"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Calibri" w:hAnsi="Times New Roman" w:cs="Times New Roman"/>
                <w:sz w:val="24"/>
                <w:szCs w:val="24"/>
                <w:lang w:eastAsia="hr-HR"/>
              </w:rPr>
              <w:t>izrađuje rješenja, ugovore i uvjerenja iz područja radnih i obvezno-pravnih odnosa,</w:t>
            </w:r>
          </w:p>
          <w:p w14:paraId="564D0D6F" w14:textId="77777777" w:rsidR="005853EB" w:rsidRPr="005853EB" w:rsidRDefault="005853EB" w:rsidP="005853EB">
            <w:pPr>
              <w:numPr>
                <w:ilvl w:val="0"/>
                <w:numId w:val="3"/>
              </w:numPr>
              <w:spacing w:after="0" w:line="240" w:lineRule="auto"/>
              <w:rPr>
                <w:rFonts w:ascii="Times New Roman" w:eastAsia="Calibri" w:hAnsi="Times New Roman" w:cs="Times New Roman"/>
                <w:sz w:val="24"/>
                <w:szCs w:val="24"/>
                <w:lang w:eastAsia="hr-HR"/>
              </w:rPr>
            </w:pPr>
            <w:r w:rsidRPr="005853EB">
              <w:rPr>
                <w:rFonts w:ascii="Times New Roman" w:eastAsia="Calibri" w:hAnsi="Times New Roman" w:cs="Times New Roman"/>
                <w:sz w:val="24"/>
                <w:szCs w:val="24"/>
                <w:lang w:eastAsia="hr-HR"/>
              </w:rPr>
              <w:t>prati i primjenjuje propise koji se odnose na organizaciju i djelokrug lokalne samouprave,</w:t>
            </w:r>
          </w:p>
          <w:p w14:paraId="6509316A" w14:textId="77777777" w:rsidR="005853EB" w:rsidRPr="005853EB" w:rsidRDefault="005853EB" w:rsidP="005853EB">
            <w:pPr>
              <w:numPr>
                <w:ilvl w:val="0"/>
                <w:numId w:val="3"/>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Calibri" w:hAnsi="Times New Roman" w:cs="Times New Roman"/>
                <w:sz w:val="24"/>
                <w:szCs w:val="24"/>
                <w:lang w:eastAsia="hr-HR"/>
              </w:rPr>
              <w:t>nalaže obavljanje određenih poslova i zadataka svakom pojedinom službeniku  neophodnih za uredan i pravodoban rad Odjela,</w:t>
            </w:r>
          </w:p>
          <w:tbl>
            <w:tblPr>
              <w:tblW w:w="0" w:type="auto"/>
              <w:tblBorders>
                <w:insideH w:val="single" w:sz="4" w:space="0" w:color="auto"/>
                <w:insideV w:val="single" w:sz="4" w:space="0" w:color="auto"/>
              </w:tblBorders>
              <w:tblLook w:val="04A0" w:firstRow="1" w:lastRow="0" w:firstColumn="1" w:lastColumn="0" w:noHBand="0" w:noVBand="1"/>
            </w:tblPr>
            <w:tblGrid>
              <w:gridCol w:w="8001"/>
            </w:tblGrid>
            <w:tr w:rsidR="005853EB" w:rsidRPr="005853EB" w14:paraId="68E49E51" w14:textId="77777777" w:rsidTr="00E002A9">
              <w:tc>
                <w:tcPr>
                  <w:tcW w:w="8217" w:type="dxa"/>
                  <w:shd w:val="clear" w:color="auto" w:fill="auto"/>
                </w:tcPr>
                <w:p w14:paraId="2CB9A466" w14:textId="77777777" w:rsidR="005853EB" w:rsidRPr="005853EB" w:rsidRDefault="005853EB" w:rsidP="005853EB">
                  <w:pPr>
                    <w:numPr>
                      <w:ilvl w:val="0"/>
                      <w:numId w:val="4"/>
                    </w:numPr>
                    <w:spacing w:after="0" w:line="240" w:lineRule="auto"/>
                    <w:rPr>
                      <w:rFonts w:ascii="Times New Roman" w:eastAsia="Calibri" w:hAnsi="Times New Roman" w:cs="Times New Roman"/>
                      <w:sz w:val="24"/>
                      <w:szCs w:val="24"/>
                      <w:lang w:eastAsia="hr-HR"/>
                    </w:rPr>
                  </w:pPr>
                  <w:r w:rsidRPr="005853EB">
                    <w:rPr>
                      <w:rFonts w:ascii="Times New Roman" w:eastAsia="Calibri" w:hAnsi="Times New Roman" w:cs="Times New Roman"/>
                      <w:sz w:val="24"/>
                      <w:szCs w:val="24"/>
                      <w:lang w:eastAsia="hr-HR"/>
                    </w:rPr>
                    <w:t>obavlja upravne, stručne i druge poslove iz područja službeničkih odnosa u skladu s posebnim zakonom i propisima</w:t>
                  </w:r>
                </w:p>
              </w:tc>
            </w:tr>
          </w:tbl>
          <w:p w14:paraId="259A6B49" w14:textId="77777777" w:rsidR="005853EB" w:rsidRPr="005853EB" w:rsidRDefault="005853EB" w:rsidP="005853EB">
            <w:pPr>
              <w:spacing w:after="0" w:line="240" w:lineRule="atLeast"/>
              <w:jc w:val="both"/>
              <w:rPr>
                <w:rFonts w:ascii="Arial Narrow" w:eastAsia="Times New Roman" w:hAnsi="Arial Narrow" w:cs="Tahoma"/>
                <w:b/>
                <w:sz w:val="24"/>
                <w:szCs w:val="24"/>
                <w:u w:val="single"/>
                <w:lang w:eastAsia="hr-HR"/>
              </w:rPr>
            </w:pPr>
          </w:p>
          <w:p w14:paraId="30128B8A" w14:textId="77777777" w:rsidR="005853EB" w:rsidRPr="005853EB" w:rsidRDefault="005853EB" w:rsidP="005853EB">
            <w:pPr>
              <w:spacing w:after="0" w:line="240" w:lineRule="atLeast"/>
              <w:ind w:left="720"/>
              <w:jc w:val="both"/>
              <w:rPr>
                <w:rFonts w:ascii="Times New Roman" w:eastAsia="Times New Roman" w:hAnsi="Times New Roman" w:cs="Times New Roman"/>
                <w:sz w:val="24"/>
                <w:szCs w:val="24"/>
                <w:lang w:eastAsia="hr-HR"/>
              </w:rPr>
            </w:pPr>
            <w:r w:rsidRPr="005853EB">
              <w:rPr>
                <w:rFonts w:ascii="Times New Roman" w:eastAsia="Calibri" w:hAnsi="Times New Roman" w:cs="Times New Roman"/>
                <w:sz w:val="24"/>
                <w:szCs w:val="24"/>
                <w:lang w:eastAsia="hr-HR"/>
              </w:rPr>
              <w:t xml:space="preserve">  </w:t>
            </w:r>
          </w:p>
        </w:tc>
      </w:tr>
    </w:tbl>
    <w:p w14:paraId="11AFD1A1" w14:textId="77777777" w:rsidR="005853EB" w:rsidRPr="005853EB" w:rsidRDefault="005853EB" w:rsidP="005853EB">
      <w:pPr>
        <w:spacing w:after="0" w:line="240" w:lineRule="atLeast"/>
        <w:jc w:val="both"/>
        <w:rPr>
          <w:rFonts w:ascii="Times New Roman" w:eastAsia="Times New Roman" w:hAnsi="Times New Roman" w:cs="Times New Roman"/>
          <w:b/>
          <w:sz w:val="24"/>
          <w:szCs w:val="24"/>
          <w:u w:val="single"/>
          <w:lang w:eastAsia="hr-HR"/>
        </w:rPr>
      </w:pPr>
    </w:p>
    <w:p w14:paraId="2109B9B3" w14:textId="77777777" w:rsidR="005853EB" w:rsidRPr="005853EB" w:rsidRDefault="005853EB" w:rsidP="005853EB">
      <w:pPr>
        <w:spacing w:after="0" w:line="240" w:lineRule="atLeast"/>
        <w:jc w:val="both"/>
        <w:rPr>
          <w:rFonts w:ascii="Times New Roman" w:eastAsia="Times New Roman" w:hAnsi="Times New Roman" w:cs="Times New Roman"/>
          <w:b/>
          <w:sz w:val="24"/>
          <w:szCs w:val="24"/>
          <w:u w:val="single"/>
          <w:lang w:eastAsia="hr-HR"/>
        </w:rPr>
      </w:pPr>
      <w:r w:rsidRPr="005853EB">
        <w:rPr>
          <w:rFonts w:ascii="Times New Roman" w:eastAsia="Times New Roman" w:hAnsi="Times New Roman" w:cs="Times New Roman"/>
          <w:b/>
          <w:sz w:val="24"/>
          <w:szCs w:val="24"/>
          <w:u w:val="single"/>
          <w:lang w:eastAsia="hr-HR"/>
        </w:rPr>
        <w:t>PODACI O PLAĆI RADNOG MJESTA:</w:t>
      </w:r>
    </w:p>
    <w:p w14:paraId="0D25C1F3" w14:textId="77777777" w:rsidR="005853EB" w:rsidRPr="005853EB" w:rsidRDefault="005853EB" w:rsidP="005853EB">
      <w:pPr>
        <w:spacing w:after="0" w:line="240" w:lineRule="atLeast"/>
        <w:jc w:val="both"/>
        <w:rPr>
          <w:rFonts w:ascii="Times New Roman" w:eastAsia="Times New Roman" w:hAnsi="Times New Roman" w:cs="Times New Roman"/>
          <w:b/>
          <w:sz w:val="24"/>
          <w:szCs w:val="24"/>
          <w:u w:val="single"/>
          <w:lang w:eastAsia="hr-HR"/>
        </w:rPr>
      </w:pPr>
    </w:p>
    <w:p w14:paraId="7C8E4A69" w14:textId="77777777" w:rsidR="005853EB" w:rsidRPr="005853EB" w:rsidRDefault="005853EB" w:rsidP="005853EB">
      <w:pPr>
        <w:shd w:val="clear" w:color="auto" w:fill="FDFDFD"/>
        <w:spacing w:before="150" w:after="100" w:afterAutospacing="1" w:line="240" w:lineRule="auto"/>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Sukladno članku 8. Zakona o plaćama u lokalnoj i područnoj (regionalnoj) samoupravi («Narodne novine» 28/10, 10/23) plaću službenika, odnosno namještenika u upravnim odjelima </w:t>
      </w:r>
      <w:r w:rsidRPr="005853EB">
        <w:rPr>
          <w:rFonts w:ascii="Times New Roman" w:eastAsia="Times New Roman" w:hAnsi="Times New Roman" w:cs="Times New Roman"/>
          <w:sz w:val="24"/>
          <w:szCs w:val="24"/>
          <w:lang w:eastAsia="hr-HR"/>
        </w:rPr>
        <w:lastRenderedPageBreak/>
        <w:t>i službama jedinica lokalne i područne (regionalne) samouprave čini umnožak koeficijenata složenosti poslova radnog mjesta na koje je službenik, odnosno namještenik raspoređen i osnovice za obračun plaće, uvećan za 0,5 % za svaku navršenu godinu radnog staža.</w:t>
      </w:r>
    </w:p>
    <w:p w14:paraId="79C994C1" w14:textId="44D6DD2B" w:rsidR="005853EB" w:rsidRPr="005853EB" w:rsidRDefault="005853EB" w:rsidP="005853EB">
      <w:pPr>
        <w:shd w:val="clear" w:color="auto" w:fill="FDFDFD"/>
        <w:spacing w:before="150" w:after="100" w:afterAutospacing="1" w:line="240" w:lineRule="auto"/>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Prema Odluci o koeficijentima za obračun plaće službenika i namještenika u upravnim tijelima Općine Čađavica </w:t>
      </w:r>
      <w:r w:rsidRPr="00641C65">
        <w:rPr>
          <w:rFonts w:ascii="Times New Roman" w:eastAsia="Times New Roman" w:hAnsi="Times New Roman" w:cs="Times New Roman"/>
          <w:sz w:val="24"/>
          <w:szCs w:val="24"/>
          <w:lang w:eastAsia="hr-HR"/>
        </w:rPr>
        <w:t>(«Službeni glasnik» broj:</w:t>
      </w:r>
      <w:r w:rsidR="00641C65" w:rsidRPr="00641C65">
        <w:rPr>
          <w:rFonts w:ascii="Times New Roman" w:eastAsia="Times New Roman" w:hAnsi="Times New Roman" w:cs="Times New Roman"/>
          <w:sz w:val="24"/>
          <w:szCs w:val="24"/>
          <w:lang w:eastAsia="hr-HR"/>
        </w:rPr>
        <w:t xml:space="preserve"> 2/20, 3/21</w:t>
      </w:r>
      <w:r w:rsidRPr="00641C65">
        <w:rPr>
          <w:rFonts w:ascii="Times New Roman" w:eastAsia="Times New Roman" w:hAnsi="Times New Roman" w:cs="Times New Roman"/>
          <w:sz w:val="24"/>
          <w:szCs w:val="24"/>
          <w:lang w:eastAsia="hr-HR"/>
        </w:rPr>
        <w:t xml:space="preserve">) koeficijent  </w:t>
      </w:r>
      <w:r w:rsidRPr="005853EB">
        <w:rPr>
          <w:rFonts w:ascii="Times New Roman" w:eastAsia="Times New Roman" w:hAnsi="Times New Roman" w:cs="Times New Roman"/>
          <w:sz w:val="24"/>
          <w:szCs w:val="24"/>
          <w:lang w:eastAsia="hr-HR"/>
        </w:rPr>
        <w:t>složenosti poslova za radno mjesto pročelnik Jedinstvenog upravnog odjela iznosi 3,21.</w:t>
      </w:r>
    </w:p>
    <w:p w14:paraId="455C9EA2" w14:textId="77777777" w:rsidR="005853EB" w:rsidRPr="005853EB" w:rsidRDefault="005853EB" w:rsidP="005853EB">
      <w:pPr>
        <w:shd w:val="clear" w:color="auto" w:fill="FDFDFD"/>
        <w:spacing w:before="150" w:after="100" w:afterAutospacing="1" w:line="240" w:lineRule="auto"/>
        <w:jc w:val="both"/>
        <w:rPr>
          <w:rFonts w:ascii="Times New Roman" w:eastAsia="Times New Roman" w:hAnsi="Times New Roman" w:cs="Times New Roman"/>
          <w:sz w:val="24"/>
          <w:szCs w:val="24"/>
          <w:lang w:eastAsia="hr-HR"/>
        </w:rPr>
      </w:pPr>
    </w:p>
    <w:p w14:paraId="0D3E83B2"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Za kandidate koji ispunjavaju formalne uvjete iz natječaja provest će se prethodna provjera znanja i sposobnosti putem pisanog testiranja i intervjua. Pisano testiranje sastoji se od općeg i posebnog dijela.</w:t>
      </w:r>
    </w:p>
    <w:p w14:paraId="324F0B26"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p>
    <w:p w14:paraId="1D6B6F39" w14:textId="77777777" w:rsidR="005853EB" w:rsidRPr="005853EB" w:rsidRDefault="005853EB" w:rsidP="005853EB">
      <w:pPr>
        <w:spacing w:after="0" w:line="240" w:lineRule="auto"/>
        <w:jc w:val="both"/>
        <w:rPr>
          <w:rFonts w:ascii="Times New Roman" w:eastAsia="Times New Roman" w:hAnsi="Times New Roman" w:cs="Times New Roman"/>
          <w:b/>
          <w:sz w:val="24"/>
          <w:szCs w:val="24"/>
          <w:u w:val="single"/>
          <w:lang w:eastAsia="hr-HR"/>
        </w:rPr>
      </w:pPr>
      <w:r w:rsidRPr="005853EB">
        <w:rPr>
          <w:rFonts w:ascii="Times New Roman" w:eastAsia="Times New Roman" w:hAnsi="Times New Roman" w:cs="Times New Roman"/>
          <w:b/>
          <w:sz w:val="24"/>
          <w:szCs w:val="24"/>
          <w:u w:val="single"/>
          <w:lang w:eastAsia="hr-HR"/>
        </w:rPr>
        <w:t>PRAVNI I DRUGI IZVORI ZA PRIPREMANJE KANDIDATA ZA TESTIRANJE:</w:t>
      </w:r>
    </w:p>
    <w:p w14:paraId="3D969CF2"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p>
    <w:p w14:paraId="560FD571" w14:textId="77777777" w:rsidR="005853EB" w:rsidRPr="005853EB" w:rsidRDefault="005853EB" w:rsidP="005853EB">
      <w:pPr>
        <w:spacing w:after="0" w:line="240" w:lineRule="auto"/>
        <w:jc w:val="both"/>
        <w:rPr>
          <w:rFonts w:ascii="Times New Roman" w:eastAsia="Times New Roman" w:hAnsi="Times New Roman" w:cs="Times New Roman"/>
          <w:b/>
          <w:i/>
          <w:sz w:val="24"/>
          <w:szCs w:val="24"/>
          <w:u w:val="single"/>
          <w:lang w:eastAsia="hr-HR"/>
        </w:rPr>
      </w:pPr>
      <w:r w:rsidRPr="005853EB">
        <w:rPr>
          <w:rFonts w:ascii="Times New Roman" w:eastAsia="Times New Roman" w:hAnsi="Times New Roman" w:cs="Times New Roman"/>
          <w:b/>
          <w:i/>
          <w:sz w:val="24"/>
          <w:szCs w:val="24"/>
          <w:u w:val="single"/>
          <w:lang w:eastAsia="hr-HR"/>
        </w:rPr>
        <w:t>Opći dio:</w:t>
      </w:r>
    </w:p>
    <w:p w14:paraId="387C2E9C" w14:textId="77777777" w:rsidR="005853EB" w:rsidRPr="005853EB" w:rsidRDefault="005853EB" w:rsidP="005853EB">
      <w:pPr>
        <w:numPr>
          <w:ilvl w:val="0"/>
          <w:numId w:val="1"/>
        </w:numPr>
        <w:tabs>
          <w:tab w:val="left" w:pos="567"/>
        </w:tabs>
        <w:spacing w:after="0" w:line="240" w:lineRule="auto"/>
        <w:ind w:left="567" w:hanging="207"/>
        <w:contextualSpacing/>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Ustav Republike Hrvatske</w:t>
      </w:r>
      <w:r w:rsidRPr="005853EB">
        <w:rPr>
          <w:rFonts w:ascii="Times New Roman" w:eastAsia="Times New Roman" w:hAnsi="Times New Roman" w:cs="Times New Roman"/>
          <w:sz w:val="24"/>
          <w:szCs w:val="24"/>
          <w:lang w:eastAsia="hr-HR"/>
        </w:rPr>
        <w:t xml:space="preserve"> („Narodne novine“ br. 56/90, 135/97, 8/98-pročišćeni tekst, 113/00, 124/00-pročišćeni tekst, 28/01, 41/01-pročišćeni tekst, 55/01-ispravak, 76/10 i 85/10-pročišćeni tekst i 5/14 ),</w:t>
      </w:r>
    </w:p>
    <w:p w14:paraId="0F14F95B" w14:textId="77777777" w:rsidR="005853EB" w:rsidRPr="005853EB" w:rsidRDefault="005853EB" w:rsidP="005853EB">
      <w:pPr>
        <w:numPr>
          <w:ilvl w:val="0"/>
          <w:numId w:val="1"/>
        </w:numPr>
        <w:tabs>
          <w:tab w:val="left" w:pos="567"/>
        </w:tabs>
        <w:spacing w:after="0" w:line="240" w:lineRule="atLeast"/>
        <w:ind w:left="567" w:hanging="207"/>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Zakon o lokalnoj i područnoj (regionalnoj) samoupravi</w:t>
      </w:r>
      <w:r w:rsidRPr="005853EB">
        <w:rPr>
          <w:rFonts w:ascii="Times New Roman" w:eastAsia="Times New Roman" w:hAnsi="Times New Roman" w:cs="Times New Roman"/>
          <w:sz w:val="24"/>
          <w:szCs w:val="24"/>
          <w:lang w:eastAsia="hr-HR"/>
        </w:rPr>
        <w:t xml:space="preserve"> („Narodne novine“ br. 33/01, 60/01-     vjerodostojno tumačenje, 129/05, 109/07, 125/08, 36/09, 150/11, 144/12, 19/13 – pročišćeni tekst, 137/15-ispravak, 123/17, 98/19 i 144/20) , </w:t>
      </w:r>
    </w:p>
    <w:p w14:paraId="32AED401" w14:textId="77777777" w:rsidR="005853EB" w:rsidRPr="005853EB" w:rsidRDefault="005853EB" w:rsidP="005853EB">
      <w:pPr>
        <w:numPr>
          <w:ilvl w:val="0"/>
          <w:numId w:val="1"/>
        </w:numPr>
        <w:tabs>
          <w:tab w:val="left" w:pos="567"/>
        </w:tabs>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Zakon o općem upravnom postupku</w:t>
      </w:r>
      <w:r w:rsidRPr="005853EB">
        <w:rPr>
          <w:rFonts w:ascii="Times New Roman" w:eastAsia="Times New Roman" w:hAnsi="Times New Roman" w:cs="Times New Roman"/>
          <w:sz w:val="24"/>
          <w:szCs w:val="24"/>
          <w:lang w:eastAsia="hr-HR"/>
        </w:rPr>
        <w:t xml:space="preserve"> ( „Narodne novine“  br. 47/09 i 110/21),</w:t>
      </w:r>
    </w:p>
    <w:p w14:paraId="7807E9D3" w14:textId="77777777" w:rsidR="005853EB" w:rsidRPr="005853EB" w:rsidRDefault="005853EB" w:rsidP="005853EB">
      <w:pPr>
        <w:numPr>
          <w:ilvl w:val="0"/>
          <w:numId w:val="1"/>
        </w:numPr>
        <w:tabs>
          <w:tab w:val="left" w:pos="567"/>
        </w:tabs>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 xml:space="preserve">Uredba o uredskom poslovanju </w:t>
      </w:r>
      <w:r w:rsidRPr="005853EB">
        <w:rPr>
          <w:rFonts w:ascii="Times New Roman" w:eastAsia="Times New Roman" w:hAnsi="Times New Roman" w:cs="Times New Roman"/>
          <w:sz w:val="24"/>
          <w:szCs w:val="24"/>
          <w:lang w:eastAsia="hr-HR"/>
        </w:rPr>
        <w:t>(''Narodne novine'' br. 75/21)</w:t>
      </w:r>
    </w:p>
    <w:p w14:paraId="62A23E15" w14:textId="77777777" w:rsidR="005853EB" w:rsidRPr="005853EB" w:rsidRDefault="005853EB" w:rsidP="005853EB">
      <w:pPr>
        <w:tabs>
          <w:tab w:val="left" w:pos="567"/>
        </w:tabs>
        <w:spacing w:after="0" w:line="240" w:lineRule="atLeast"/>
        <w:ind w:firstLine="567"/>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ab/>
      </w:r>
    </w:p>
    <w:p w14:paraId="0534A458" w14:textId="77777777" w:rsidR="005853EB" w:rsidRPr="005853EB" w:rsidRDefault="005853EB" w:rsidP="005853EB">
      <w:pPr>
        <w:spacing w:after="0" w:line="240" w:lineRule="atLeast"/>
        <w:jc w:val="both"/>
        <w:rPr>
          <w:rFonts w:ascii="Times New Roman" w:eastAsia="Times New Roman" w:hAnsi="Times New Roman" w:cs="Times New Roman"/>
          <w:b/>
          <w:i/>
          <w:sz w:val="24"/>
          <w:szCs w:val="24"/>
          <w:u w:val="single"/>
          <w:lang w:eastAsia="hr-HR"/>
        </w:rPr>
      </w:pPr>
      <w:r w:rsidRPr="005853EB">
        <w:rPr>
          <w:rFonts w:ascii="Times New Roman" w:eastAsia="Times New Roman" w:hAnsi="Times New Roman" w:cs="Times New Roman"/>
          <w:b/>
          <w:i/>
          <w:sz w:val="24"/>
          <w:szCs w:val="24"/>
          <w:u w:val="single"/>
          <w:lang w:eastAsia="hr-HR"/>
        </w:rPr>
        <w:t>Posebni dio:</w:t>
      </w:r>
    </w:p>
    <w:p w14:paraId="4F9168FC" w14:textId="77777777" w:rsidR="005853EB" w:rsidRPr="005853EB" w:rsidRDefault="005853EB" w:rsidP="005853EB">
      <w:pPr>
        <w:widowControl w:val="0"/>
        <w:suppressAutoHyphens/>
        <w:spacing w:after="0" w:line="240" w:lineRule="auto"/>
        <w:ind w:left="426"/>
        <w:contextualSpacing/>
        <w:jc w:val="both"/>
        <w:rPr>
          <w:rFonts w:ascii="Times New Roman" w:eastAsia="Times New Roman" w:hAnsi="Times New Roman" w:cs="Times New Roman"/>
          <w:b/>
          <w:sz w:val="24"/>
          <w:szCs w:val="24"/>
          <w:lang w:eastAsia="hr-HR"/>
        </w:rPr>
      </w:pPr>
    </w:p>
    <w:p w14:paraId="18755B0C" w14:textId="77777777" w:rsidR="005853EB" w:rsidRPr="005853EB" w:rsidRDefault="005853EB" w:rsidP="005853EB">
      <w:pPr>
        <w:widowControl w:val="0"/>
        <w:numPr>
          <w:ilvl w:val="0"/>
          <w:numId w:val="2"/>
        </w:numPr>
        <w:suppressAutoHyphens/>
        <w:spacing w:after="0" w:line="240" w:lineRule="auto"/>
        <w:contextualSpacing/>
        <w:jc w:val="both"/>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Zakon o službenicima i namještenicima u lokalnoj i područnoj ( regionalnoj) samoupravi</w:t>
      </w:r>
      <w:r w:rsidRPr="005853EB">
        <w:rPr>
          <w:rFonts w:ascii="Times New Roman" w:eastAsia="Times New Roman" w:hAnsi="Times New Roman" w:cs="Times New Roman"/>
          <w:sz w:val="24"/>
          <w:szCs w:val="24"/>
          <w:lang w:eastAsia="hr-HR"/>
        </w:rPr>
        <w:t xml:space="preserve"> ( ''Narodne  novine''  br. </w:t>
      </w:r>
      <w:hyperlink r:id="rId5" w:tgtFrame="_blank" w:history="1">
        <w:r w:rsidRPr="005853EB">
          <w:rPr>
            <w:rFonts w:ascii="Times New Roman" w:eastAsia="Times New Roman" w:hAnsi="Times New Roman" w:cs="Times New Roman"/>
            <w:sz w:val="24"/>
            <w:szCs w:val="24"/>
            <w:lang w:eastAsia="hr-HR"/>
          </w:rPr>
          <w:t>86/08</w:t>
        </w:r>
      </w:hyperlink>
      <w:r w:rsidRPr="005853EB">
        <w:rPr>
          <w:rFonts w:ascii="Times New Roman" w:eastAsia="Times New Roman" w:hAnsi="Times New Roman" w:cs="Times New Roman"/>
          <w:sz w:val="24"/>
          <w:szCs w:val="24"/>
          <w:lang w:eastAsia="hr-HR"/>
        </w:rPr>
        <w:t xml:space="preserve">, </w:t>
      </w:r>
      <w:hyperlink r:id="rId6" w:tgtFrame="_blank" w:history="1">
        <w:r w:rsidRPr="005853EB">
          <w:rPr>
            <w:rFonts w:ascii="Times New Roman" w:eastAsia="Times New Roman" w:hAnsi="Times New Roman" w:cs="Times New Roman"/>
            <w:sz w:val="24"/>
            <w:szCs w:val="24"/>
            <w:lang w:eastAsia="hr-HR"/>
          </w:rPr>
          <w:t>61/11</w:t>
        </w:r>
      </w:hyperlink>
      <w:r w:rsidRPr="005853EB">
        <w:rPr>
          <w:rFonts w:ascii="Times New Roman" w:eastAsia="Times New Roman" w:hAnsi="Times New Roman" w:cs="Times New Roman"/>
          <w:sz w:val="24"/>
          <w:szCs w:val="24"/>
          <w:lang w:eastAsia="hr-HR"/>
        </w:rPr>
        <w:t xml:space="preserve">, </w:t>
      </w:r>
      <w:hyperlink r:id="rId7" w:tgtFrame="_blank" w:history="1">
        <w:r w:rsidRPr="005853EB">
          <w:rPr>
            <w:rFonts w:ascii="Times New Roman" w:eastAsia="Times New Roman" w:hAnsi="Times New Roman" w:cs="Times New Roman"/>
            <w:sz w:val="24"/>
            <w:szCs w:val="24"/>
            <w:lang w:eastAsia="hr-HR"/>
          </w:rPr>
          <w:t>04/18</w:t>
        </w:r>
      </w:hyperlink>
      <w:r w:rsidRPr="005853EB">
        <w:rPr>
          <w:rFonts w:ascii="Times New Roman" w:eastAsia="Times New Roman" w:hAnsi="Times New Roman" w:cs="Times New Roman"/>
          <w:sz w:val="24"/>
          <w:szCs w:val="24"/>
          <w:lang w:eastAsia="hr-HR"/>
        </w:rPr>
        <w:t xml:space="preserve">, </w:t>
      </w:r>
      <w:hyperlink r:id="rId8" w:tgtFrame="_blank" w:history="1">
        <w:r w:rsidRPr="005853EB">
          <w:rPr>
            <w:rFonts w:ascii="Times New Roman" w:eastAsia="Times New Roman" w:hAnsi="Times New Roman" w:cs="Times New Roman"/>
            <w:sz w:val="24"/>
            <w:szCs w:val="24"/>
            <w:lang w:eastAsia="hr-HR"/>
          </w:rPr>
          <w:t>112/19</w:t>
        </w:r>
      </w:hyperlink>
      <w:r w:rsidRPr="005853EB">
        <w:rPr>
          <w:rFonts w:ascii="Times New Roman" w:eastAsia="Times New Roman" w:hAnsi="Times New Roman" w:cs="Times New Roman"/>
          <w:sz w:val="24"/>
          <w:szCs w:val="24"/>
          <w:lang w:eastAsia="hr-HR"/>
        </w:rPr>
        <w:t>)</w:t>
      </w:r>
    </w:p>
    <w:p w14:paraId="6932AA7B" w14:textId="77777777" w:rsidR="005853EB" w:rsidRPr="005853EB" w:rsidRDefault="005853EB" w:rsidP="005853EB">
      <w:pPr>
        <w:numPr>
          <w:ilvl w:val="0"/>
          <w:numId w:val="2"/>
        </w:num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b/>
          <w:sz w:val="24"/>
          <w:szCs w:val="24"/>
          <w:lang w:eastAsia="hr-HR"/>
        </w:rPr>
        <w:t xml:space="preserve">Zakon o lokalnim izborima </w:t>
      </w:r>
      <w:r w:rsidRPr="005853EB">
        <w:rPr>
          <w:rFonts w:ascii="Times New Roman" w:eastAsia="Times New Roman" w:hAnsi="Times New Roman" w:cs="Times New Roman"/>
          <w:sz w:val="24"/>
          <w:szCs w:val="24"/>
          <w:lang w:eastAsia="hr-HR"/>
        </w:rPr>
        <w:t xml:space="preserve">( ''Narodne novine'' br. </w:t>
      </w:r>
      <w:hyperlink r:id="rId9" w:tgtFrame="_blank" w:history="1">
        <w:r w:rsidRPr="005853EB">
          <w:rPr>
            <w:rFonts w:ascii="Times New Roman" w:eastAsia="Times New Roman" w:hAnsi="Times New Roman" w:cs="Times New Roman"/>
            <w:sz w:val="24"/>
            <w:szCs w:val="24"/>
            <w:lang w:eastAsia="hr-HR"/>
          </w:rPr>
          <w:t>144/12</w:t>
        </w:r>
      </w:hyperlink>
      <w:r w:rsidRPr="005853EB">
        <w:rPr>
          <w:rFonts w:ascii="Times New Roman" w:eastAsia="Times New Roman" w:hAnsi="Times New Roman" w:cs="Times New Roman"/>
          <w:sz w:val="24"/>
          <w:szCs w:val="24"/>
          <w:lang w:eastAsia="hr-HR"/>
        </w:rPr>
        <w:t xml:space="preserve">, </w:t>
      </w:r>
      <w:hyperlink r:id="rId10" w:tgtFrame="_blank" w:history="1">
        <w:r w:rsidRPr="005853EB">
          <w:rPr>
            <w:rFonts w:ascii="Times New Roman" w:eastAsia="Times New Roman" w:hAnsi="Times New Roman" w:cs="Times New Roman"/>
            <w:sz w:val="24"/>
            <w:szCs w:val="24"/>
            <w:lang w:eastAsia="hr-HR"/>
          </w:rPr>
          <w:t>121/16</w:t>
        </w:r>
      </w:hyperlink>
      <w:r w:rsidRPr="005853EB">
        <w:rPr>
          <w:rFonts w:ascii="Times New Roman" w:eastAsia="Times New Roman" w:hAnsi="Times New Roman" w:cs="Times New Roman"/>
          <w:sz w:val="24"/>
          <w:szCs w:val="24"/>
          <w:lang w:eastAsia="hr-HR"/>
        </w:rPr>
        <w:t xml:space="preserve">, </w:t>
      </w:r>
      <w:hyperlink r:id="rId11" w:tgtFrame="_blank" w:history="1">
        <w:r w:rsidRPr="005853EB">
          <w:rPr>
            <w:rFonts w:ascii="Times New Roman" w:eastAsia="Times New Roman" w:hAnsi="Times New Roman" w:cs="Times New Roman"/>
            <w:sz w:val="24"/>
            <w:szCs w:val="24"/>
            <w:lang w:eastAsia="hr-HR"/>
          </w:rPr>
          <w:t>98/19</w:t>
        </w:r>
      </w:hyperlink>
      <w:r w:rsidRPr="005853EB">
        <w:rPr>
          <w:rFonts w:ascii="Times New Roman" w:eastAsia="Times New Roman" w:hAnsi="Times New Roman" w:cs="Times New Roman"/>
          <w:sz w:val="24"/>
          <w:szCs w:val="24"/>
          <w:lang w:eastAsia="hr-HR"/>
        </w:rPr>
        <w:t>, </w:t>
      </w:r>
      <w:hyperlink r:id="rId12" w:history="1">
        <w:r w:rsidRPr="005853EB">
          <w:rPr>
            <w:rFonts w:ascii="Times New Roman" w:eastAsia="Times New Roman" w:hAnsi="Times New Roman" w:cs="Times New Roman"/>
            <w:sz w:val="24"/>
            <w:szCs w:val="24"/>
            <w:lang w:eastAsia="hr-HR"/>
          </w:rPr>
          <w:t>42/20</w:t>
        </w:r>
      </w:hyperlink>
      <w:r w:rsidRPr="005853EB">
        <w:rPr>
          <w:rFonts w:ascii="Times New Roman" w:eastAsia="Times New Roman" w:hAnsi="Times New Roman" w:cs="Times New Roman"/>
          <w:sz w:val="24"/>
          <w:szCs w:val="24"/>
          <w:lang w:eastAsia="hr-HR"/>
        </w:rPr>
        <w:t>, </w:t>
      </w:r>
      <w:hyperlink r:id="rId13" w:history="1">
        <w:r w:rsidRPr="005853EB">
          <w:rPr>
            <w:rFonts w:ascii="Times New Roman" w:eastAsia="Times New Roman" w:hAnsi="Times New Roman" w:cs="Times New Roman"/>
            <w:sz w:val="24"/>
            <w:szCs w:val="24"/>
            <w:lang w:eastAsia="hr-HR"/>
          </w:rPr>
          <w:t>144/20</w:t>
        </w:r>
      </w:hyperlink>
      <w:r w:rsidRPr="005853EB">
        <w:rPr>
          <w:rFonts w:ascii="Times New Roman" w:eastAsia="Times New Roman" w:hAnsi="Times New Roman" w:cs="Times New Roman"/>
          <w:sz w:val="24"/>
          <w:szCs w:val="24"/>
          <w:lang w:eastAsia="hr-HR"/>
        </w:rPr>
        <w:t>, </w:t>
      </w:r>
      <w:hyperlink r:id="rId14" w:history="1">
        <w:r w:rsidRPr="005853EB">
          <w:rPr>
            <w:rFonts w:ascii="Times New Roman" w:eastAsia="Times New Roman" w:hAnsi="Times New Roman" w:cs="Times New Roman"/>
            <w:sz w:val="24"/>
            <w:szCs w:val="24"/>
            <w:lang w:eastAsia="hr-HR"/>
          </w:rPr>
          <w:t>37/21</w:t>
        </w:r>
      </w:hyperlink>
      <w:r w:rsidRPr="005853EB">
        <w:rPr>
          <w:rFonts w:ascii="Times New Roman" w:eastAsia="Times New Roman" w:hAnsi="Times New Roman" w:cs="Times New Roman"/>
          <w:sz w:val="24"/>
          <w:szCs w:val="24"/>
          <w:lang w:eastAsia="hr-HR"/>
        </w:rPr>
        <w:t>)</w:t>
      </w:r>
    </w:p>
    <w:p w14:paraId="57C329B1" w14:textId="77777777" w:rsidR="005853EB" w:rsidRPr="005853EB" w:rsidRDefault="005853EB" w:rsidP="005853EB">
      <w:pPr>
        <w:numPr>
          <w:ilvl w:val="0"/>
          <w:numId w:val="2"/>
        </w:numPr>
        <w:spacing w:after="0" w:line="240" w:lineRule="atLeast"/>
        <w:jc w:val="both"/>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Zakon o proračunu ( ''Narodne novine'' br. 144/21)</w:t>
      </w:r>
    </w:p>
    <w:p w14:paraId="7523528D" w14:textId="77777777" w:rsidR="005853EB" w:rsidRPr="005853EB" w:rsidRDefault="005853EB" w:rsidP="005853EB">
      <w:pPr>
        <w:spacing w:after="0" w:line="240" w:lineRule="atLeast"/>
        <w:rPr>
          <w:rFonts w:ascii="Times New Roman" w:eastAsia="Times New Roman" w:hAnsi="Times New Roman" w:cs="Times New Roman"/>
          <w:b/>
          <w:sz w:val="24"/>
          <w:szCs w:val="24"/>
          <w:u w:val="single"/>
          <w:lang w:eastAsia="hr-HR"/>
        </w:rPr>
      </w:pPr>
    </w:p>
    <w:p w14:paraId="6722D099" w14:textId="77777777" w:rsidR="005853EB" w:rsidRPr="005853EB" w:rsidRDefault="005853EB" w:rsidP="005853EB">
      <w:pPr>
        <w:spacing w:after="0" w:line="240" w:lineRule="atLeast"/>
        <w:rPr>
          <w:rFonts w:ascii="Times New Roman" w:eastAsia="Times New Roman" w:hAnsi="Times New Roman" w:cs="Times New Roman"/>
          <w:b/>
          <w:sz w:val="24"/>
          <w:szCs w:val="24"/>
          <w:u w:val="single"/>
          <w:lang w:eastAsia="hr-HR"/>
        </w:rPr>
      </w:pPr>
    </w:p>
    <w:p w14:paraId="3DA974A5" w14:textId="77777777" w:rsidR="005853EB" w:rsidRPr="005853EB" w:rsidRDefault="005853EB" w:rsidP="005853EB">
      <w:pPr>
        <w:spacing w:after="0" w:line="240" w:lineRule="atLeast"/>
        <w:rPr>
          <w:rFonts w:ascii="Times New Roman" w:eastAsia="Times New Roman" w:hAnsi="Times New Roman" w:cs="Times New Roman"/>
          <w:b/>
          <w:sz w:val="24"/>
          <w:szCs w:val="24"/>
          <w:u w:val="single"/>
          <w:lang w:eastAsia="hr-HR"/>
        </w:rPr>
      </w:pPr>
      <w:r w:rsidRPr="005853EB">
        <w:rPr>
          <w:rFonts w:ascii="Times New Roman" w:eastAsia="Times New Roman" w:hAnsi="Times New Roman" w:cs="Times New Roman"/>
          <w:b/>
          <w:sz w:val="24"/>
          <w:szCs w:val="24"/>
          <w:u w:val="single"/>
          <w:lang w:eastAsia="hr-HR"/>
        </w:rPr>
        <w:t>NAČIN OBAVLJANJA PRETHODNE PROVJERE ZNANJA I SPOSOBNOSTI:</w:t>
      </w:r>
    </w:p>
    <w:p w14:paraId="28ECA979"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1A2E3E08"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Prethodnoj provjeri znanja i sposobnosti kandidata mogu pristupiti samo kandidati koji ispunjavaju formalne uvjete iz natječaja. </w:t>
      </w:r>
    </w:p>
    <w:p w14:paraId="7B0E7FC9"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76493BC6"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Smatra se da je kandidat, koji nije pristupio prethodnoj provjeri znanja, povukao prijavu na natječaj.  Prethodna provjera znanja obuhvaća pisano testiranje i intervju.</w:t>
      </w:r>
    </w:p>
    <w:p w14:paraId="72872193"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451FEDFA" w14:textId="77777777" w:rsidR="005853EB" w:rsidRPr="005853EB" w:rsidRDefault="005853EB" w:rsidP="005853EB">
      <w:pPr>
        <w:spacing w:after="0" w:line="240" w:lineRule="auto"/>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Postupak provjere znanja i sposobnosti provodi Povjerenstvo za provedbu natječaja.</w:t>
      </w:r>
    </w:p>
    <w:p w14:paraId="74F9671C" w14:textId="77777777" w:rsidR="005853EB" w:rsidRPr="005853EB" w:rsidRDefault="005853EB" w:rsidP="005853EB">
      <w:pPr>
        <w:spacing w:after="0" w:line="240" w:lineRule="atLeast"/>
        <w:jc w:val="both"/>
        <w:rPr>
          <w:rFonts w:ascii="Times New Roman" w:eastAsia="Times New Roman" w:hAnsi="Times New Roman" w:cs="Times New Roman"/>
          <w:b/>
          <w:sz w:val="24"/>
          <w:szCs w:val="24"/>
          <w:lang w:eastAsia="hr-HR"/>
        </w:rPr>
      </w:pPr>
    </w:p>
    <w:p w14:paraId="1EF58E77"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Po dolasku na prethodnu provjeru znanja, od kandidata će se zatražiti predočenje odgovarajuće isprave (osobne iskaznice ili putovnice) radi utvrđivanja identiteta. Kandidati koji ne mogu dokazati identitet ne mogu pristupiti prethodnoj provjeri.</w:t>
      </w:r>
    </w:p>
    <w:p w14:paraId="4D673748"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0BC0AD03"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lastRenderedPageBreak/>
        <w:t xml:space="preserve">Po utvrđivanju identiteta, kandidatima će biti podijeljena pitanja za provjeru znanja iz odredbi navedenih zakona. Pisani test sastoji se od </w:t>
      </w:r>
      <w:r w:rsidRPr="005853EB">
        <w:rPr>
          <w:rFonts w:ascii="Times New Roman" w:eastAsia="Times New Roman" w:hAnsi="Times New Roman" w:cs="Times New Roman"/>
          <w:b/>
          <w:sz w:val="24"/>
          <w:szCs w:val="24"/>
          <w:lang w:eastAsia="hr-HR"/>
        </w:rPr>
        <w:t>ukupno 20 pitanja, i to 10 pitanja iz općeg dijela i 10 pitanja iz posebnog dijela.</w:t>
      </w:r>
    </w:p>
    <w:p w14:paraId="79B9F61F"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6E23FFA4" w14:textId="77777777" w:rsidR="005853EB" w:rsidRPr="005853EB" w:rsidRDefault="005853EB" w:rsidP="005853EB">
      <w:pPr>
        <w:spacing w:after="0" w:line="240" w:lineRule="atLeast"/>
        <w:jc w:val="both"/>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Svaki točan odgovor nosi 1 bod i</w:t>
      </w:r>
      <w:r w:rsidRPr="005853EB">
        <w:rPr>
          <w:rFonts w:ascii="Times New Roman" w:eastAsia="Times New Roman" w:hAnsi="Times New Roman" w:cs="Times New Roman"/>
          <w:sz w:val="24"/>
          <w:szCs w:val="24"/>
          <w:lang w:eastAsia="hr-HR"/>
        </w:rPr>
        <w:t xml:space="preserve"> kandidat može </w:t>
      </w:r>
      <w:r w:rsidRPr="005853EB">
        <w:rPr>
          <w:rFonts w:ascii="Times New Roman" w:eastAsia="Times New Roman" w:hAnsi="Times New Roman" w:cs="Times New Roman"/>
          <w:b/>
          <w:sz w:val="24"/>
          <w:szCs w:val="24"/>
          <w:lang w:eastAsia="hr-HR"/>
        </w:rPr>
        <w:t>za svaki dio provjere</w:t>
      </w:r>
      <w:r w:rsidRPr="005853EB">
        <w:rPr>
          <w:rFonts w:ascii="Times New Roman" w:eastAsia="Times New Roman" w:hAnsi="Times New Roman" w:cs="Times New Roman"/>
          <w:sz w:val="24"/>
          <w:szCs w:val="24"/>
          <w:lang w:eastAsia="hr-HR"/>
        </w:rPr>
        <w:t xml:space="preserve"> znanja na pismenom dijelu </w:t>
      </w:r>
      <w:r w:rsidRPr="005853EB">
        <w:rPr>
          <w:rFonts w:ascii="Times New Roman" w:eastAsia="Times New Roman" w:hAnsi="Times New Roman" w:cs="Times New Roman"/>
          <w:b/>
          <w:sz w:val="24"/>
          <w:szCs w:val="24"/>
          <w:lang w:eastAsia="hr-HR"/>
        </w:rPr>
        <w:t xml:space="preserve">ostvariti najviše 10 bodova. </w:t>
      </w:r>
    </w:p>
    <w:p w14:paraId="7613247F"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576C07F5"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Na pisanom testiranju nije dozvoljeno koristiti se literaturom i zabilješkama, napuštati prostoriju, razgovarati s ostalim kandidatima niti na bilo koji drugi način remetiti koncentraciju kandidata, a mobitel je potrebno isključiti. Ukoliko pojedini kandidat prekrši naprijed navedena pravila biti će udaljen s provjere znanja, a njegov/njezin rezultat Povjerenstvo neće priznati niti ocjenjivati.</w:t>
      </w:r>
    </w:p>
    <w:p w14:paraId="667A2A87"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77BE65CA"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Pisano testiranje traje </w:t>
      </w:r>
      <w:r w:rsidRPr="005853EB">
        <w:rPr>
          <w:rFonts w:ascii="Times New Roman" w:eastAsia="Times New Roman" w:hAnsi="Times New Roman" w:cs="Times New Roman"/>
          <w:b/>
          <w:sz w:val="24"/>
          <w:szCs w:val="24"/>
          <w:lang w:eastAsia="hr-HR"/>
        </w:rPr>
        <w:t>maksimalno 45 minuta.</w:t>
      </w:r>
    </w:p>
    <w:p w14:paraId="5E53F409"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55C5EEA3"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Intervju se provodi samo s kandidatima koji su ostvarili </w:t>
      </w:r>
      <w:r w:rsidRPr="005853EB">
        <w:rPr>
          <w:rFonts w:ascii="Times New Roman" w:eastAsia="Times New Roman" w:hAnsi="Times New Roman" w:cs="Times New Roman"/>
          <w:b/>
          <w:sz w:val="24"/>
          <w:szCs w:val="24"/>
          <w:lang w:eastAsia="hr-HR"/>
        </w:rPr>
        <w:t>najmanje 50% bodova iz svakog dijela provjere znanja</w:t>
      </w:r>
      <w:r w:rsidRPr="005853EB">
        <w:rPr>
          <w:rFonts w:ascii="Times New Roman" w:eastAsia="Times New Roman" w:hAnsi="Times New Roman" w:cs="Times New Roman"/>
          <w:sz w:val="24"/>
          <w:szCs w:val="24"/>
          <w:lang w:eastAsia="hr-HR"/>
        </w:rPr>
        <w:t xml:space="preserve"> na provedenom testiranju, </w:t>
      </w:r>
      <w:r w:rsidRPr="005853EB">
        <w:rPr>
          <w:rFonts w:ascii="Times New Roman" w:eastAsia="Times New Roman" w:hAnsi="Times New Roman" w:cs="Times New Roman"/>
          <w:b/>
          <w:sz w:val="24"/>
          <w:szCs w:val="24"/>
          <w:lang w:eastAsia="hr-HR"/>
        </w:rPr>
        <w:t>odnosno najmanje 5 bodova iz svakog dijela provjere znanja.</w:t>
      </w:r>
    </w:p>
    <w:p w14:paraId="2560B63D"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0A3BFF88"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Povjerenstvo za provedbu natječaja kroz intervju s kandidatima utvrđuje snalažljivost, komunikativnost, kreativnost, profesionalne ciljeve i motivaciju za rad.</w:t>
      </w:r>
    </w:p>
    <w:p w14:paraId="3AC6AED1" w14:textId="77777777" w:rsidR="005853EB" w:rsidRPr="005853EB" w:rsidRDefault="005853EB" w:rsidP="005853EB">
      <w:pPr>
        <w:spacing w:after="0" w:line="240" w:lineRule="atLeast"/>
        <w:jc w:val="both"/>
        <w:rPr>
          <w:rFonts w:ascii="Times New Roman" w:eastAsia="Times New Roman" w:hAnsi="Times New Roman" w:cs="Times New Roman"/>
          <w:b/>
          <w:sz w:val="24"/>
          <w:szCs w:val="24"/>
          <w:lang w:eastAsia="hr-HR"/>
        </w:rPr>
      </w:pPr>
      <w:r w:rsidRPr="005853EB">
        <w:rPr>
          <w:rFonts w:ascii="Times New Roman" w:eastAsia="Times New Roman" w:hAnsi="Times New Roman" w:cs="Times New Roman"/>
          <w:b/>
          <w:sz w:val="24"/>
          <w:szCs w:val="24"/>
          <w:lang w:eastAsia="hr-HR"/>
        </w:rPr>
        <w:t>Na intervjuu kandidat može ostvariti maksimalno 10 bodova.</w:t>
      </w:r>
    </w:p>
    <w:p w14:paraId="732D5A6B"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p>
    <w:p w14:paraId="2DF2BA8D" w14:textId="77777777" w:rsidR="005853EB" w:rsidRPr="005853EB" w:rsidRDefault="005853EB" w:rsidP="005853EB">
      <w:pPr>
        <w:spacing w:after="0" w:line="240" w:lineRule="atLeast"/>
        <w:jc w:val="both"/>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Nakon provedenog postupka prethodne provjere znanja i sposobnosti, Povjerenstvo za provedbu natječaja sastavlja Izvješće o provedenom postupku i utvrđuje rang listu kandidata prema ukupnom broju ostvarenih bodova na pisanom testiranju i intervjuu.</w:t>
      </w:r>
    </w:p>
    <w:p w14:paraId="53EB7A7B" w14:textId="77777777" w:rsidR="005853EB" w:rsidRPr="005853EB" w:rsidRDefault="005853EB" w:rsidP="005853EB">
      <w:pPr>
        <w:spacing w:after="0" w:line="240" w:lineRule="auto"/>
        <w:rPr>
          <w:rFonts w:ascii="Times New Roman" w:eastAsia="Times New Roman" w:hAnsi="Times New Roman" w:cs="Times New Roman"/>
          <w:sz w:val="24"/>
          <w:szCs w:val="24"/>
          <w:lang w:eastAsia="hr-HR"/>
        </w:rPr>
      </w:pPr>
    </w:p>
    <w:p w14:paraId="0BC69090" w14:textId="77777777" w:rsidR="005853EB" w:rsidRPr="005853EB" w:rsidRDefault="005853EB" w:rsidP="005853EB">
      <w:pPr>
        <w:spacing w:after="0" w:line="240" w:lineRule="auto"/>
        <w:rPr>
          <w:rFonts w:ascii="Times New Roman" w:eastAsia="Times New Roman" w:hAnsi="Times New Roman" w:cs="Times New Roman"/>
          <w:sz w:val="24"/>
          <w:szCs w:val="24"/>
          <w:lang w:eastAsia="hr-HR"/>
        </w:rPr>
      </w:pPr>
    </w:p>
    <w:p w14:paraId="5BA4898D" w14:textId="77777777" w:rsidR="005853EB" w:rsidRPr="005853EB" w:rsidRDefault="005853EB" w:rsidP="005853EB">
      <w:pPr>
        <w:spacing w:after="0" w:line="240" w:lineRule="auto"/>
        <w:rPr>
          <w:rFonts w:ascii="Times New Roman" w:eastAsia="Times New Roman" w:hAnsi="Times New Roman" w:cs="Times New Roman"/>
          <w:b/>
          <w:sz w:val="24"/>
          <w:szCs w:val="24"/>
          <w:u w:val="single"/>
          <w:lang w:eastAsia="hr-HR"/>
        </w:rPr>
      </w:pPr>
      <w:r w:rsidRPr="005853EB">
        <w:rPr>
          <w:rFonts w:ascii="Times New Roman" w:eastAsia="Times New Roman" w:hAnsi="Times New Roman" w:cs="Times New Roman"/>
          <w:b/>
          <w:sz w:val="24"/>
          <w:szCs w:val="24"/>
          <w:u w:val="single"/>
          <w:lang w:eastAsia="hr-HR"/>
        </w:rPr>
        <w:t xml:space="preserve">MJESTO I VRIJEME ODRŽAVANJA TESTIRANJA          </w:t>
      </w:r>
    </w:p>
    <w:p w14:paraId="523DCAA0" w14:textId="77777777" w:rsidR="005853EB" w:rsidRPr="005853EB" w:rsidRDefault="005853EB" w:rsidP="005853EB">
      <w:pPr>
        <w:spacing w:after="0" w:line="240" w:lineRule="auto"/>
        <w:rPr>
          <w:rFonts w:ascii="Times New Roman" w:eastAsia="Times New Roman" w:hAnsi="Times New Roman" w:cs="Times New Roman"/>
          <w:b/>
          <w:sz w:val="24"/>
          <w:szCs w:val="24"/>
          <w:lang w:eastAsia="hr-HR"/>
        </w:rPr>
      </w:pPr>
    </w:p>
    <w:p w14:paraId="27934540" w14:textId="77777777" w:rsidR="005853EB" w:rsidRPr="005853EB" w:rsidRDefault="005853EB" w:rsidP="005853EB">
      <w:pPr>
        <w:spacing w:after="0" w:line="240" w:lineRule="auto"/>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 xml:space="preserve">                                                      </w:t>
      </w:r>
    </w:p>
    <w:p w14:paraId="763C4C5B" w14:textId="2B2E69D2" w:rsidR="005853EB" w:rsidRPr="005853EB" w:rsidRDefault="005853EB" w:rsidP="0001515B">
      <w:pPr>
        <w:shd w:val="clear" w:color="auto" w:fill="FFFFFF"/>
        <w:spacing w:before="27" w:after="0" w:line="240" w:lineRule="auto"/>
        <w:jc w:val="both"/>
        <w:textAlignment w:val="baseline"/>
        <w:rPr>
          <w:rFonts w:ascii="Times New Roman" w:eastAsia="Times New Roman" w:hAnsi="Times New Roman" w:cs="Times New Roman"/>
          <w:sz w:val="24"/>
          <w:szCs w:val="24"/>
          <w:lang w:eastAsia="hr-HR"/>
        </w:rPr>
      </w:pPr>
      <w:r w:rsidRPr="005853EB">
        <w:rPr>
          <w:rFonts w:ascii="Times New Roman" w:eastAsia="Times New Roman" w:hAnsi="Times New Roman" w:cs="Times New Roman"/>
          <w:sz w:val="24"/>
          <w:szCs w:val="24"/>
          <w:lang w:eastAsia="hr-HR"/>
        </w:rPr>
        <w:t>Povjerenstvo za provedbu natječaja utvrdit će listu kandidata koji ispunjavaju formalne uvjete iz natječaja te će na službenoj web stranici i na oglasnoj ploči općine Čađavica objaviti mjesto i vrijeme održavanja prethodne provjere znanja i sposobnosti kandidata, najmanje 5 dana prije održavanja provjere. Kandidati koji ispunjavaju formalne uvjete natječaja bit će obaviješteni o vremenu i mjestu održavanja prethodne provjere znanja i sposobnosti i putem e-mail adrese koju navedu u prijavi na natječaj.</w:t>
      </w:r>
    </w:p>
    <w:sectPr w:rsidR="005853EB" w:rsidRPr="0058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40A"/>
    <w:multiLevelType w:val="hybridMultilevel"/>
    <w:tmpl w:val="70DC3DC8"/>
    <w:lvl w:ilvl="0" w:tplc="37448A2E">
      <w:start w:val="1"/>
      <w:numFmt w:val="bullet"/>
      <w:lvlText w:val="-"/>
      <w:lvlJc w:val="left"/>
      <w:pPr>
        <w:ind w:left="720" w:hanging="360"/>
      </w:pPr>
      <w:rPr>
        <w:rFonts w:ascii="Arial Narrow" w:eastAsia="Calibri" w:hAnsi="Arial Narrow"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AFF0D2D"/>
    <w:multiLevelType w:val="hybridMultilevel"/>
    <w:tmpl w:val="FECC877A"/>
    <w:lvl w:ilvl="0" w:tplc="B6DA54E8">
      <w:start w:val="1"/>
      <w:numFmt w:val="decimal"/>
      <w:lvlText w:val="%1."/>
      <w:lvlJc w:val="left"/>
      <w:pPr>
        <w:tabs>
          <w:tab w:val="num" w:pos="975"/>
        </w:tabs>
        <w:ind w:left="975" w:hanging="360"/>
      </w:pPr>
      <w:rPr>
        <w:b/>
      </w:rPr>
    </w:lvl>
    <w:lvl w:ilvl="1" w:tplc="28FA50C8">
      <w:start w:val="43"/>
      <w:numFmt w:val="bullet"/>
      <w:lvlText w:val="-"/>
      <w:lvlJc w:val="left"/>
      <w:pPr>
        <w:tabs>
          <w:tab w:val="num" w:pos="1695"/>
        </w:tabs>
        <w:ind w:left="1695" w:hanging="360"/>
      </w:pPr>
      <w:rPr>
        <w:rFonts w:ascii="Arial" w:eastAsia="Times New Roman" w:hAnsi="Arial" w:cs="Arial" w:hint="default"/>
        <w:b w:val="0"/>
      </w:rPr>
    </w:lvl>
    <w:lvl w:ilvl="2" w:tplc="041A001B" w:tentative="1">
      <w:start w:val="1"/>
      <w:numFmt w:val="lowerRoman"/>
      <w:lvlText w:val="%3."/>
      <w:lvlJc w:val="right"/>
      <w:pPr>
        <w:tabs>
          <w:tab w:val="num" w:pos="2415"/>
        </w:tabs>
        <w:ind w:left="2415" w:hanging="180"/>
      </w:pPr>
    </w:lvl>
    <w:lvl w:ilvl="3" w:tplc="041A000F" w:tentative="1">
      <w:start w:val="1"/>
      <w:numFmt w:val="decimal"/>
      <w:lvlText w:val="%4."/>
      <w:lvlJc w:val="left"/>
      <w:pPr>
        <w:tabs>
          <w:tab w:val="num" w:pos="3135"/>
        </w:tabs>
        <w:ind w:left="3135" w:hanging="360"/>
      </w:pPr>
    </w:lvl>
    <w:lvl w:ilvl="4" w:tplc="041A0019" w:tentative="1">
      <w:start w:val="1"/>
      <w:numFmt w:val="lowerLetter"/>
      <w:lvlText w:val="%5."/>
      <w:lvlJc w:val="left"/>
      <w:pPr>
        <w:tabs>
          <w:tab w:val="num" w:pos="3855"/>
        </w:tabs>
        <w:ind w:left="3855" w:hanging="360"/>
      </w:pPr>
    </w:lvl>
    <w:lvl w:ilvl="5" w:tplc="041A001B" w:tentative="1">
      <w:start w:val="1"/>
      <w:numFmt w:val="lowerRoman"/>
      <w:lvlText w:val="%6."/>
      <w:lvlJc w:val="right"/>
      <w:pPr>
        <w:tabs>
          <w:tab w:val="num" w:pos="4575"/>
        </w:tabs>
        <w:ind w:left="4575" w:hanging="180"/>
      </w:pPr>
    </w:lvl>
    <w:lvl w:ilvl="6" w:tplc="041A000F" w:tentative="1">
      <w:start w:val="1"/>
      <w:numFmt w:val="decimal"/>
      <w:lvlText w:val="%7."/>
      <w:lvlJc w:val="left"/>
      <w:pPr>
        <w:tabs>
          <w:tab w:val="num" w:pos="5295"/>
        </w:tabs>
        <w:ind w:left="5295" w:hanging="360"/>
      </w:pPr>
    </w:lvl>
    <w:lvl w:ilvl="7" w:tplc="041A0019" w:tentative="1">
      <w:start w:val="1"/>
      <w:numFmt w:val="lowerLetter"/>
      <w:lvlText w:val="%8."/>
      <w:lvlJc w:val="left"/>
      <w:pPr>
        <w:tabs>
          <w:tab w:val="num" w:pos="6015"/>
        </w:tabs>
        <w:ind w:left="6015" w:hanging="360"/>
      </w:pPr>
    </w:lvl>
    <w:lvl w:ilvl="8" w:tplc="041A001B" w:tentative="1">
      <w:start w:val="1"/>
      <w:numFmt w:val="lowerRoman"/>
      <w:lvlText w:val="%9."/>
      <w:lvlJc w:val="right"/>
      <w:pPr>
        <w:tabs>
          <w:tab w:val="num" w:pos="6735"/>
        </w:tabs>
        <w:ind w:left="6735" w:hanging="180"/>
      </w:pPr>
    </w:lvl>
  </w:abstractNum>
  <w:abstractNum w:abstractNumId="2" w15:restartNumberingAfterBreak="0">
    <w:nsid w:val="49242E41"/>
    <w:multiLevelType w:val="hybridMultilevel"/>
    <w:tmpl w:val="92AAF322"/>
    <w:lvl w:ilvl="0" w:tplc="28FA50C8">
      <w:start w:val="43"/>
      <w:numFmt w:val="bullet"/>
      <w:lvlText w:val="-"/>
      <w:lvlJc w:val="left"/>
      <w:pPr>
        <w:tabs>
          <w:tab w:val="num" w:pos="1695"/>
        </w:tabs>
        <w:ind w:left="1695" w:hanging="360"/>
      </w:pPr>
      <w:rPr>
        <w:rFonts w:ascii="Arial" w:eastAsia="Times New Roman" w:hAnsi="Arial" w:cs="Arial" w:hint="default"/>
        <w:b w:val="0"/>
      </w:rPr>
    </w:lvl>
    <w:lvl w:ilvl="1" w:tplc="041A000F">
      <w:start w:val="1"/>
      <w:numFmt w:val="decimal"/>
      <w:lvlText w:val="%2."/>
      <w:lvlJc w:val="left"/>
      <w:pPr>
        <w:tabs>
          <w:tab w:val="num" w:pos="1695"/>
        </w:tabs>
        <w:ind w:left="1695" w:hanging="360"/>
      </w:pPr>
      <w:rPr>
        <w:rFonts w:hint="default"/>
        <w:b w:val="0"/>
      </w:rPr>
    </w:lvl>
    <w:lvl w:ilvl="2" w:tplc="041A0005">
      <w:start w:val="1"/>
      <w:numFmt w:val="bullet"/>
      <w:lvlText w:val=""/>
      <w:lvlJc w:val="left"/>
      <w:pPr>
        <w:tabs>
          <w:tab w:val="num" w:pos="2415"/>
        </w:tabs>
        <w:ind w:left="2415" w:hanging="360"/>
      </w:pPr>
      <w:rPr>
        <w:rFonts w:ascii="Wingdings" w:hAnsi="Wingdings" w:hint="default"/>
      </w:rPr>
    </w:lvl>
    <w:lvl w:ilvl="3" w:tplc="041A0001" w:tentative="1">
      <w:start w:val="1"/>
      <w:numFmt w:val="bullet"/>
      <w:lvlText w:val=""/>
      <w:lvlJc w:val="left"/>
      <w:pPr>
        <w:tabs>
          <w:tab w:val="num" w:pos="3135"/>
        </w:tabs>
        <w:ind w:left="3135" w:hanging="360"/>
      </w:pPr>
      <w:rPr>
        <w:rFonts w:ascii="Symbol" w:hAnsi="Symbol" w:hint="default"/>
      </w:rPr>
    </w:lvl>
    <w:lvl w:ilvl="4" w:tplc="041A0003" w:tentative="1">
      <w:start w:val="1"/>
      <w:numFmt w:val="bullet"/>
      <w:lvlText w:val="o"/>
      <w:lvlJc w:val="left"/>
      <w:pPr>
        <w:tabs>
          <w:tab w:val="num" w:pos="3855"/>
        </w:tabs>
        <w:ind w:left="3855" w:hanging="360"/>
      </w:pPr>
      <w:rPr>
        <w:rFonts w:ascii="Courier New" w:hAnsi="Courier New" w:cs="Courier New" w:hint="default"/>
      </w:rPr>
    </w:lvl>
    <w:lvl w:ilvl="5" w:tplc="041A0005" w:tentative="1">
      <w:start w:val="1"/>
      <w:numFmt w:val="bullet"/>
      <w:lvlText w:val=""/>
      <w:lvlJc w:val="left"/>
      <w:pPr>
        <w:tabs>
          <w:tab w:val="num" w:pos="4575"/>
        </w:tabs>
        <w:ind w:left="4575" w:hanging="360"/>
      </w:pPr>
      <w:rPr>
        <w:rFonts w:ascii="Wingdings" w:hAnsi="Wingdings" w:hint="default"/>
      </w:rPr>
    </w:lvl>
    <w:lvl w:ilvl="6" w:tplc="041A0001" w:tentative="1">
      <w:start w:val="1"/>
      <w:numFmt w:val="bullet"/>
      <w:lvlText w:val=""/>
      <w:lvlJc w:val="left"/>
      <w:pPr>
        <w:tabs>
          <w:tab w:val="num" w:pos="5295"/>
        </w:tabs>
        <w:ind w:left="5295" w:hanging="360"/>
      </w:pPr>
      <w:rPr>
        <w:rFonts w:ascii="Symbol" w:hAnsi="Symbol" w:hint="default"/>
      </w:rPr>
    </w:lvl>
    <w:lvl w:ilvl="7" w:tplc="041A0003" w:tentative="1">
      <w:start w:val="1"/>
      <w:numFmt w:val="bullet"/>
      <w:lvlText w:val="o"/>
      <w:lvlJc w:val="left"/>
      <w:pPr>
        <w:tabs>
          <w:tab w:val="num" w:pos="6015"/>
        </w:tabs>
        <w:ind w:left="6015" w:hanging="360"/>
      </w:pPr>
      <w:rPr>
        <w:rFonts w:ascii="Courier New" w:hAnsi="Courier New" w:cs="Courier New" w:hint="default"/>
      </w:rPr>
    </w:lvl>
    <w:lvl w:ilvl="8" w:tplc="041A0005" w:tentative="1">
      <w:start w:val="1"/>
      <w:numFmt w:val="bullet"/>
      <w:lvlText w:val=""/>
      <w:lvlJc w:val="left"/>
      <w:pPr>
        <w:tabs>
          <w:tab w:val="num" w:pos="6735"/>
        </w:tabs>
        <w:ind w:left="6735" w:hanging="360"/>
      </w:pPr>
      <w:rPr>
        <w:rFonts w:ascii="Wingdings" w:hAnsi="Wingdings" w:hint="default"/>
      </w:rPr>
    </w:lvl>
  </w:abstractNum>
  <w:abstractNum w:abstractNumId="3" w15:restartNumberingAfterBreak="0">
    <w:nsid w:val="533B399B"/>
    <w:multiLevelType w:val="hybridMultilevel"/>
    <w:tmpl w:val="70DAE248"/>
    <w:lvl w:ilvl="0" w:tplc="2E26CD9A">
      <w:numFmt w:val="bullet"/>
      <w:lvlText w:val="-"/>
      <w:lvlJc w:val="left"/>
      <w:pPr>
        <w:ind w:left="720" w:hanging="360"/>
      </w:pPr>
      <w:rPr>
        <w:rFonts w:ascii="Arial Narrow" w:eastAsia="Times New Roman" w:hAnsi="Arial Narrow"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FF334B1"/>
    <w:multiLevelType w:val="hybridMultilevel"/>
    <w:tmpl w:val="4DFE6374"/>
    <w:lvl w:ilvl="0" w:tplc="9202FA34">
      <w:start w:val="9"/>
      <w:numFmt w:val="bullet"/>
      <w:lvlText w:val="-"/>
      <w:lvlJc w:val="left"/>
      <w:pPr>
        <w:ind w:left="720" w:hanging="360"/>
      </w:pPr>
      <w:rPr>
        <w:rFonts w:ascii="Arial Narrow" w:eastAsia="Times New Roman" w:hAnsi="Arial Narrow"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8765CE"/>
    <w:multiLevelType w:val="hybridMultilevel"/>
    <w:tmpl w:val="A552CA98"/>
    <w:lvl w:ilvl="0" w:tplc="37448A2E">
      <w:start w:val="1"/>
      <w:numFmt w:val="bullet"/>
      <w:lvlText w:val="-"/>
      <w:lvlJc w:val="left"/>
      <w:pPr>
        <w:ind w:left="720" w:hanging="360"/>
      </w:pPr>
      <w:rPr>
        <w:rFonts w:ascii="Arial Narrow" w:eastAsia="Calibri" w:hAnsi="Arial Narrow"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6212016"/>
    <w:multiLevelType w:val="hybridMultilevel"/>
    <w:tmpl w:val="CB9E2158"/>
    <w:lvl w:ilvl="0" w:tplc="99CCBBCA">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0110318">
    <w:abstractNumId w:val="4"/>
  </w:num>
  <w:num w:numId="2" w16cid:durableId="747458875">
    <w:abstractNumId w:val="3"/>
  </w:num>
  <w:num w:numId="3" w16cid:durableId="1055929788">
    <w:abstractNumId w:val="0"/>
  </w:num>
  <w:num w:numId="4" w16cid:durableId="1806853367">
    <w:abstractNumId w:val="5"/>
  </w:num>
  <w:num w:numId="5" w16cid:durableId="269968407">
    <w:abstractNumId w:val="6"/>
  </w:num>
  <w:num w:numId="6" w16cid:durableId="841703710">
    <w:abstractNumId w:val="2"/>
  </w:num>
  <w:num w:numId="7" w16cid:durableId="47900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EB"/>
    <w:rsid w:val="0001515B"/>
    <w:rsid w:val="005853EB"/>
    <w:rsid w:val="00641C65"/>
    <w:rsid w:val="00847FE4"/>
    <w:rsid w:val="00D67367"/>
    <w:rsid w:val="00EF6A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E290"/>
  <w15:docId w15:val="{DE8C0CE7-082F-4A67-8F3C-B93CAD91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1367" TargetMode="External"/><Relationship Id="rId13" Type="http://schemas.openxmlformats.org/officeDocument/2006/relationships/hyperlink" Target="https://www.zakon.hr/cms.htm?id=46705" TargetMode="External"/><Relationship Id="rId3" Type="http://schemas.openxmlformats.org/officeDocument/2006/relationships/settings" Target="settings.xml"/><Relationship Id="rId7" Type="http://schemas.openxmlformats.org/officeDocument/2006/relationships/hyperlink" Target="https://www.zakon.hr/cms.htm?id=31615" TargetMode="External"/><Relationship Id="rId12" Type="http://schemas.openxmlformats.org/officeDocument/2006/relationships/hyperlink" Target="https://www.zakon.hr/cms.htm?id=441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31611" TargetMode="External"/><Relationship Id="rId11" Type="http://schemas.openxmlformats.org/officeDocument/2006/relationships/hyperlink" Target="https://www.zakon.hr/cms.htm?id=40767" TargetMode="External"/><Relationship Id="rId5" Type="http://schemas.openxmlformats.org/officeDocument/2006/relationships/hyperlink" Target="https://www.zakon.hr/cms.htm?id=31613" TargetMode="External"/><Relationship Id="rId15" Type="http://schemas.openxmlformats.org/officeDocument/2006/relationships/fontTable" Target="fontTable.xml"/><Relationship Id="rId10" Type="http://schemas.openxmlformats.org/officeDocument/2006/relationships/hyperlink" Target="https://www.zakon.hr/cms.htm?id=17735" TargetMode="External"/><Relationship Id="rId4" Type="http://schemas.openxmlformats.org/officeDocument/2006/relationships/webSettings" Target="webSettings.xml"/><Relationship Id="rId9" Type="http://schemas.openxmlformats.org/officeDocument/2006/relationships/hyperlink" Target="https://www.zakon.hr/cms.htm?id=17737" TargetMode="External"/><Relationship Id="rId14" Type="http://schemas.openxmlformats.org/officeDocument/2006/relationships/hyperlink" Target="https://www.zakon.hr/cms.htm?id=4799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1086</Words>
  <Characters>6192</Characters>
  <Application>Microsoft Office Word</Application>
  <DocSecurity>0</DocSecurity>
  <Lines>51</Lines>
  <Paragraphs>14</Paragraphs>
  <ScaleCrop>false</ScaleCrop>
  <Company>HP</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Horvat</dc:creator>
  <cp:lastModifiedBy>Općina Čađavica</cp:lastModifiedBy>
  <cp:revision>4</cp:revision>
  <dcterms:created xsi:type="dcterms:W3CDTF">2023-11-08T07:21:00Z</dcterms:created>
  <dcterms:modified xsi:type="dcterms:W3CDTF">2023-11-13T10:52:00Z</dcterms:modified>
</cp:coreProperties>
</file>